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7C9F" w:rsidR="000E142D" w:rsidP="000E142D" w:rsidRDefault="000E142D" w14:paraId="041FA765" w14:textId="6FED5F64">
      <w:pPr>
        <w:spacing w:after="240" w:line="240" w:lineRule="auto"/>
        <w:jc w:val="both"/>
        <w:rPr>
          <w:rFonts w:cstheme="minorHAnsi"/>
          <w:sz w:val="24"/>
          <w:szCs w:val="24"/>
          <w:u w:val="single"/>
          <w:shd w:val="clear" w:color="auto" w:fill="FFFFFF"/>
        </w:rPr>
      </w:pPr>
      <w:r w:rsidRPr="00417C9F">
        <w:rPr>
          <w:rFonts w:cstheme="minorHAnsi"/>
          <w:sz w:val="24"/>
          <w:szCs w:val="24"/>
          <w:u w:val="single"/>
          <w:shd w:val="clear" w:color="auto" w:fill="FFFFFF"/>
        </w:rPr>
        <w:t xml:space="preserve">Equity </w:t>
      </w:r>
    </w:p>
    <w:p w:rsidRPr="00417C9F" w:rsidR="000E142D" w:rsidP="000E142D" w:rsidRDefault="000E142D" w14:paraId="4D658EE1" w14:textId="77777777">
      <w:pPr>
        <w:spacing w:after="240" w:line="240" w:lineRule="auto"/>
        <w:jc w:val="both"/>
        <w:rPr>
          <w:rFonts w:cstheme="minorHAnsi"/>
          <w:sz w:val="24"/>
          <w:szCs w:val="24"/>
          <w:shd w:val="clear" w:color="auto" w:fill="FFFFFF"/>
        </w:rPr>
      </w:pPr>
      <w:r w:rsidRPr="00417C9F">
        <w:rPr>
          <w:rFonts w:cstheme="minorHAnsi"/>
          <w:sz w:val="24"/>
          <w:szCs w:val="24"/>
          <w:shd w:val="clear" w:color="auto" w:fill="FFFFFF"/>
        </w:rPr>
        <w:t>Jackson &amp; Campbell is committed to diversity, equity &amp; inclusion; and we understand that diversity encompasses experiences as well as traits, including race,</w:t>
      </w:r>
      <w:r w:rsidRPr="00417C9F">
        <w:rPr>
          <w:rFonts w:cstheme="minorHAnsi"/>
          <w:sz w:val="24"/>
          <w:szCs w:val="24"/>
        </w:rPr>
        <w:t xml:space="preserve"> </w:t>
      </w:r>
      <w:r w:rsidRPr="00417C9F">
        <w:rPr>
          <w:rFonts w:cstheme="minorHAnsi"/>
          <w:sz w:val="24"/>
          <w:szCs w:val="24"/>
          <w:shd w:val="clear" w:color="auto" w:fill="FFFFFF"/>
        </w:rPr>
        <w:t>veteran status, national origin, sexual orientation, gender identity, ethnicity, age, education, religion, gender disability, socio-economic status, and family and marital status. We strongly believe that maintaining a diverse and inclusive workplace is essential to developing quality attorneys and staff that provide high-quality services to our clients. We recognize that the experiences and backgrounds of our attorneys, professionals, and staff enhance the representation of our clients.</w:t>
      </w:r>
    </w:p>
    <w:p w:rsidRPr="00417C9F" w:rsidR="000E142D" w:rsidP="000E142D" w:rsidRDefault="000E142D" w14:paraId="4C2728A0" w14:textId="77777777">
      <w:pPr>
        <w:spacing w:after="120" w:line="240" w:lineRule="auto"/>
        <w:jc w:val="both"/>
        <w:rPr>
          <w:rFonts w:cstheme="minorHAnsi"/>
          <w:sz w:val="24"/>
          <w:szCs w:val="24"/>
          <w:shd w:val="clear" w:color="auto" w:fill="FFFFFF"/>
        </w:rPr>
      </w:pPr>
      <w:r w:rsidRPr="00417C9F">
        <w:rPr>
          <w:rFonts w:cstheme="minorHAnsi"/>
          <w:sz w:val="24"/>
          <w:szCs w:val="24"/>
          <w:shd w:val="clear" w:color="auto" w:fill="FFFFFF"/>
        </w:rPr>
        <w:t xml:space="preserve">We are keenly aware that the legal industry still must make significant strides in its efforts to achieve a truly diverse, equitable, and inclusive profession. Here at Jackson &amp; Campbell, we recognize that our commitment to diversity, equity, and inclusion cannot just be performative. In trying to fulfill our ever-moving commitment to diversity, equity, and inclusion, the firm: </w:t>
      </w:r>
    </w:p>
    <w:p w:rsidRPr="00417C9F" w:rsidR="000E142D" w:rsidP="000E142D" w:rsidRDefault="000E142D" w14:paraId="154E68A1" w14:textId="77777777">
      <w:pPr>
        <w:pStyle w:val="ListParagraph"/>
        <w:numPr>
          <w:ilvl w:val="0"/>
          <w:numId w:val="1"/>
        </w:numPr>
        <w:spacing w:after="120" w:line="240" w:lineRule="auto"/>
        <w:contextualSpacing w:val="0"/>
        <w:jc w:val="both"/>
        <w:rPr>
          <w:rFonts w:cstheme="minorHAnsi"/>
          <w:sz w:val="24"/>
          <w:szCs w:val="24"/>
        </w:rPr>
      </w:pPr>
      <w:r w:rsidRPr="00417C9F">
        <w:rPr>
          <w:rFonts w:cstheme="minorHAnsi"/>
          <w:sz w:val="24"/>
          <w:szCs w:val="24"/>
          <w:shd w:val="clear" w:color="auto" w:fill="FFFFFF"/>
        </w:rPr>
        <w:t>Provides education to attorneys and staff on fellow colleagues’ experiences</w:t>
      </w:r>
    </w:p>
    <w:p w:rsidRPr="00417C9F" w:rsidR="000E142D" w:rsidP="000E142D" w:rsidRDefault="000E142D" w14:paraId="7C10AE8B" w14:textId="77777777">
      <w:pPr>
        <w:pStyle w:val="ListParagraph"/>
        <w:numPr>
          <w:ilvl w:val="0"/>
          <w:numId w:val="1"/>
        </w:numPr>
        <w:spacing w:after="120" w:line="240" w:lineRule="auto"/>
        <w:contextualSpacing w:val="0"/>
        <w:jc w:val="both"/>
        <w:rPr>
          <w:rFonts w:cstheme="minorHAnsi"/>
          <w:sz w:val="24"/>
          <w:szCs w:val="24"/>
        </w:rPr>
      </w:pPr>
      <w:r w:rsidRPr="00417C9F">
        <w:rPr>
          <w:rFonts w:cstheme="minorHAnsi"/>
          <w:sz w:val="24"/>
          <w:szCs w:val="24"/>
          <w:shd w:val="clear" w:color="auto" w:fill="FFFFFF"/>
        </w:rPr>
        <w:t>Remains committed to intentional recruiting, retaining, and promoting of diverse attorneys</w:t>
      </w:r>
    </w:p>
    <w:p w:rsidRPr="00417C9F" w:rsidR="000E142D" w:rsidP="000E142D" w:rsidRDefault="000E142D" w14:paraId="27050455" w14:textId="77777777">
      <w:pPr>
        <w:pStyle w:val="ListParagraph"/>
        <w:numPr>
          <w:ilvl w:val="0"/>
          <w:numId w:val="1"/>
        </w:numPr>
        <w:spacing w:after="120" w:line="240" w:lineRule="auto"/>
        <w:contextualSpacing w:val="0"/>
        <w:jc w:val="both"/>
        <w:rPr>
          <w:rFonts w:cstheme="minorHAnsi"/>
          <w:sz w:val="24"/>
          <w:szCs w:val="24"/>
        </w:rPr>
      </w:pPr>
      <w:r w:rsidRPr="00417C9F">
        <w:rPr>
          <w:rFonts w:cstheme="minorHAnsi"/>
          <w:sz w:val="24"/>
          <w:szCs w:val="24"/>
          <w:shd w:val="clear" w:color="auto" w:fill="FFFFFF"/>
        </w:rPr>
        <w:t>Strives to create an inclusive environment where all attorneys and staff feel respected and have opportunities to succeed</w:t>
      </w:r>
    </w:p>
    <w:p w:rsidRPr="00417C9F" w:rsidR="000E142D" w:rsidP="000E142D" w:rsidRDefault="000E142D" w14:paraId="0683F1D8" w14:textId="77777777">
      <w:pPr>
        <w:pStyle w:val="ListParagraph"/>
        <w:numPr>
          <w:ilvl w:val="0"/>
          <w:numId w:val="1"/>
        </w:numPr>
        <w:spacing w:after="120" w:line="240" w:lineRule="auto"/>
        <w:contextualSpacing w:val="0"/>
        <w:jc w:val="both"/>
        <w:rPr>
          <w:rFonts w:cstheme="minorHAnsi"/>
          <w:sz w:val="24"/>
          <w:szCs w:val="24"/>
        </w:rPr>
      </w:pPr>
      <w:r w:rsidRPr="00417C9F">
        <w:rPr>
          <w:rFonts w:cstheme="minorHAnsi"/>
          <w:sz w:val="24"/>
          <w:szCs w:val="24"/>
          <w:shd w:val="clear" w:color="auto" w:fill="FFFFFF"/>
        </w:rPr>
        <w:t>Provides access to programs and opportunities to support, mentor, and promote growth for diverse attorneys</w:t>
      </w:r>
    </w:p>
    <w:p w:rsidRPr="00417C9F" w:rsidR="000E142D" w:rsidP="000E142D" w:rsidRDefault="000E142D" w14:paraId="0EE1B175" w14:textId="77777777">
      <w:pPr>
        <w:pStyle w:val="ListParagraph"/>
        <w:numPr>
          <w:ilvl w:val="0"/>
          <w:numId w:val="1"/>
        </w:numPr>
        <w:spacing w:after="240" w:line="240" w:lineRule="auto"/>
        <w:contextualSpacing w:val="0"/>
        <w:jc w:val="both"/>
        <w:rPr>
          <w:rFonts w:cstheme="minorHAnsi"/>
          <w:sz w:val="24"/>
          <w:szCs w:val="24"/>
        </w:rPr>
      </w:pPr>
      <w:r w:rsidRPr="00417C9F">
        <w:rPr>
          <w:rFonts w:cstheme="minorHAnsi"/>
          <w:sz w:val="24"/>
          <w:szCs w:val="24"/>
          <w:shd w:val="clear" w:color="auto" w:fill="FFFFFF"/>
        </w:rPr>
        <w:t>Continually evaluates the firm’s diversity, equity, and inclusion efforts</w:t>
      </w:r>
    </w:p>
    <w:p w:rsidRPr="00417C9F" w:rsidR="000E142D" w:rsidP="000E142D" w:rsidRDefault="000E142D" w14:paraId="03617BA5" w14:textId="77777777">
      <w:pPr>
        <w:spacing w:after="240" w:line="240" w:lineRule="auto"/>
        <w:jc w:val="both"/>
        <w:rPr>
          <w:rFonts w:cstheme="minorHAnsi"/>
          <w:sz w:val="24"/>
          <w:szCs w:val="24"/>
        </w:rPr>
      </w:pPr>
      <w:r w:rsidRPr="00417C9F">
        <w:rPr>
          <w:rFonts w:cstheme="minorHAnsi"/>
          <w:sz w:val="24"/>
          <w:szCs w:val="24"/>
        </w:rPr>
        <w:t xml:space="preserve">Through community groups, outreach, educational programs, mentoring, sponsorship, and community service, Jackson &amp; Campbell endeavors to create opportunities for diverse voices within its ranks. By working together and being deliberate in our commitment to diversity, equity, and inclusion, we hope to play our part in moving the legal industry forward in that regard. </w:t>
      </w:r>
    </w:p>
    <w:p w:rsidRPr="00417C9F" w:rsidR="000E142D" w:rsidP="000E142D" w:rsidRDefault="000E142D" w14:paraId="4DD12DE0" w14:textId="77777777">
      <w:pPr>
        <w:spacing w:after="120" w:line="240" w:lineRule="auto"/>
        <w:jc w:val="both"/>
        <w:rPr>
          <w:rFonts w:cstheme="minorHAnsi"/>
          <w:sz w:val="24"/>
          <w:szCs w:val="24"/>
        </w:rPr>
      </w:pPr>
      <w:r w:rsidRPr="00417C9F">
        <w:rPr>
          <w:rFonts w:cstheme="minorHAnsi"/>
          <w:sz w:val="24"/>
          <w:szCs w:val="24"/>
        </w:rPr>
        <w:t>As part of this commitment, some of the bar associations and community organizations to which Jackson &amp; Campbell attorneys belong, include the following:</w:t>
      </w:r>
    </w:p>
    <w:p w:rsidRPr="00417C9F" w:rsidR="000E142D" w:rsidP="000E142D" w:rsidRDefault="000E142D" w14:paraId="6CD9C868" w14:textId="77777777">
      <w:pPr>
        <w:pStyle w:val="ListParagraph"/>
        <w:numPr>
          <w:ilvl w:val="0"/>
          <w:numId w:val="3"/>
        </w:numPr>
        <w:spacing w:after="120" w:line="240" w:lineRule="auto"/>
        <w:contextualSpacing w:val="0"/>
        <w:jc w:val="both"/>
        <w:rPr>
          <w:rFonts w:eastAsia="Times New Roman" w:cstheme="minorHAnsi"/>
          <w:sz w:val="24"/>
          <w:szCs w:val="24"/>
        </w:rPr>
      </w:pPr>
      <w:hyperlink w:history="1" r:id="rId7">
        <w:r w:rsidRPr="00417C9F">
          <w:rPr>
            <w:rFonts w:eastAsia="Times New Roman" w:cstheme="minorHAnsi"/>
            <w:sz w:val="24"/>
            <w:szCs w:val="24"/>
            <w:u w:val="single"/>
          </w:rPr>
          <w:t>Commercial Real Estate Women – DC</w:t>
        </w:r>
      </w:hyperlink>
    </w:p>
    <w:p w:rsidRPr="00417C9F" w:rsidR="000E142D" w:rsidP="000E142D" w:rsidRDefault="000E142D" w14:paraId="79EA3C68" w14:textId="77777777">
      <w:pPr>
        <w:numPr>
          <w:ilvl w:val="0"/>
          <w:numId w:val="2"/>
        </w:numPr>
        <w:spacing w:after="120" w:line="240" w:lineRule="auto"/>
        <w:jc w:val="both"/>
        <w:rPr>
          <w:rFonts w:eastAsia="Times New Roman" w:cstheme="minorHAnsi"/>
          <w:sz w:val="24"/>
          <w:szCs w:val="24"/>
        </w:rPr>
      </w:pPr>
      <w:hyperlink w:history="1" r:id="rId8">
        <w:r w:rsidRPr="00417C9F">
          <w:rPr>
            <w:rFonts w:eastAsia="Times New Roman" w:cstheme="minorHAnsi"/>
            <w:sz w:val="24"/>
            <w:szCs w:val="24"/>
            <w:u w:val="single"/>
          </w:rPr>
          <w:t>Equality Chamber of Commerce DC Metro Area</w:t>
        </w:r>
      </w:hyperlink>
    </w:p>
    <w:p w:rsidRPr="00417C9F" w:rsidR="000E142D" w:rsidP="000E142D" w:rsidRDefault="000E142D" w14:paraId="2A1C6116" w14:textId="77777777">
      <w:pPr>
        <w:numPr>
          <w:ilvl w:val="0"/>
          <w:numId w:val="2"/>
        </w:numPr>
        <w:spacing w:after="120" w:line="240" w:lineRule="auto"/>
        <w:jc w:val="both"/>
        <w:rPr>
          <w:rFonts w:eastAsia="Times New Roman" w:cstheme="minorHAnsi"/>
          <w:sz w:val="24"/>
          <w:szCs w:val="24"/>
        </w:rPr>
      </w:pPr>
      <w:hyperlink w:history="1" r:id="rId9">
        <w:r w:rsidRPr="00417C9F">
          <w:rPr>
            <w:rFonts w:eastAsia="Times New Roman" w:cstheme="minorHAnsi"/>
            <w:sz w:val="24"/>
            <w:szCs w:val="24"/>
            <w:u w:val="single"/>
          </w:rPr>
          <w:t>Virginia Women Attorneys Association</w:t>
        </w:r>
      </w:hyperlink>
    </w:p>
    <w:p w:rsidRPr="00417C9F" w:rsidR="000E142D" w:rsidP="000E142D" w:rsidRDefault="000E142D" w14:paraId="1DC553D9" w14:textId="77777777">
      <w:pPr>
        <w:numPr>
          <w:ilvl w:val="0"/>
          <w:numId w:val="2"/>
        </w:numPr>
        <w:spacing w:after="120" w:line="240" w:lineRule="auto"/>
        <w:jc w:val="both"/>
        <w:rPr>
          <w:rFonts w:eastAsia="Times New Roman" w:cstheme="minorHAnsi"/>
          <w:sz w:val="24"/>
          <w:szCs w:val="24"/>
        </w:rPr>
      </w:pPr>
      <w:hyperlink w:history="1" r:id="rId10">
        <w:r w:rsidRPr="00417C9F">
          <w:rPr>
            <w:rFonts w:eastAsia="Times New Roman" w:cstheme="minorHAnsi"/>
            <w:sz w:val="24"/>
            <w:szCs w:val="24"/>
            <w:u w:val="single"/>
          </w:rPr>
          <w:t>WBA Foundation</w:t>
        </w:r>
      </w:hyperlink>
    </w:p>
    <w:p w:rsidRPr="00417C9F" w:rsidR="000E142D" w:rsidP="000E142D" w:rsidRDefault="000E142D" w14:paraId="362E70EB" w14:textId="77777777">
      <w:pPr>
        <w:numPr>
          <w:ilvl w:val="0"/>
          <w:numId w:val="2"/>
        </w:numPr>
        <w:spacing w:after="120" w:line="240" w:lineRule="auto"/>
        <w:jc w:val="both"/>
        <w:rPr>
          <w:rFonts w:eastAsia="Times New Roman" w:cstheme="minorHAnsi"/>
          <w:sz w:val="24"/>
          <w:szCs w:val="24"/>
        </w:rPr>
      </w:pPr>
      <w:hyperlink w:history="1" r:id="rId11">
        <w:r w:rsidRPr="00417C9F">
          <w:rPr>
            <w:rFonts w:eastAsia="Times New Roman" w:cstheme="minorHAnsi"/>
            <w:sz w:val="24"/>
            <w:szCs w:val="24"/>
            <w:u w:val="single"/>
          </w:rPr>
          <w:t>Women’s Bar Association of the District of Columbia</w:t>
        </w:r>
      </w:hyperlink>
    </w:p>
    <w:p w:rsidRPr="00417C9F" w:rsidR="000E142D" w:rsidP="000E142D" w:rsidRDefault="000E142D" w14:paraId="2EAEACFB" w14:textId="77777777">
      <w:pPr>
        <w:numPr>
          <w:ilvl w:val="0"/>
          <w:numId w:val="2"/>
        </w:numPr>
        <w:spacing w:after="120" w:line="240" w:lineRule="auto"/>
        <w:jc w:val="both"/>
        <w:rPr>
          <w:rFonts w:eastAsia="Times New Roman" w:cstheme="minorHAnsi"/>
          <w:sz w:val="24"/>
          <w:szCs w:val="24"/>
          <w:u w:val="single"/>
        </w:rPr>
      </w:pPr>
      <w:r w:rsidRPr="00417C9F">
        <w:rPr>
          <w:rFonts w:eastAsia="Times New Roman" w:cstheme="minorHAnsi"/>
          <w:sz w:val="24"/>
          <w:szCs w:val="24"/>
          <w:u w:val="single"/>
        </w:rPr>
        <w:t>National Bar Association</w:t>
      </w:r>
    </w:p>
    <w:p w:rsidRPr="00417C9F" w:rsidR="000E142D" w:rsidP="000E142D" w:rsidRDefault="000E142D" w14:paraId="7E2EE934" w14:textId="77777777">
      <w:pPr>
        <w:spacing w:after="120" w:line="240" w:lineRule="auto"/>
        <w:jc w:val="both"/>
        <w:rPr>
          <w:rFonts w:cstheme="minorHAnsi"/>
          <w:sz w:val="24"/>
          <w:szCs w:val="24"/>
        </w:rPr>
      </w:pPr>
    </w:p>
    <w:p w:rsidRPr="00417C9F" w:rsidR="000E142D" w:rsidP="000E142D" w:rsidRDefault="000E142D" w14:paraId="138E9AFC" w14:textId="00718095">
      <w:pPr>
        <w:spacing w:after="240" w:line="240" w:lineRule="auto"/>
        <w:jc w:val="both"/>
        <w:rPr>
          <w:rFonts w:cstheme="minorHAnsi"/>
          <w:sz w:val="24"/>
          <w:szCs w:val="24"/>
          <w:u w:val="single"/>
        </w:rPr>
      </w:pPr>
      <w:r w:rsidRPr="00417C9F">
        <w:rPr>
          <w:rFonts w:cstheme="minorHAnsi"/>
          <w:sz w:val="24"/>
          <w:szCs w:val="24"/>
          <w:u w:val="single"/>
        </w:rPr>
        <w:lastRenderedPageBreak/>
        <w:t>Retention</w:t>
      </w:r>
    </w:p>
    <w:p w:rsidRPr="00417C9F" w:rsidR="000E142D" w:rsidP="000E142D" w:rsidRDefault="000E142D" w14:paraId="60DC8006" w14:textId="77777777">
      <w:pPr>
        <w:spacing w:after="240" w:line="240" w:lineRule="auto"/>
        <w:jc w:val="both"/>
        <w:rPr>
          <w:rFonts w:cstheme="minorHAnsi"/>
          <w:sz w:val="24"/>
          <w:szCs w:val="24"/>
        </w:rPr>
      </w:pPr>
      <w:r w:rsidRPr="00417C9F">
        <w:rPr>
          <w:rFonts w:cstheme="minorHAnsi"/>
          <w:sz w:val="24"/>
          <w:szCs w:val="24"/>
        </w:rPr>
        <w:t xml:space="preserve">Jackson &amp; Campbell, P.C. values and appreciates every member of our team. We demonstrate our commitment to attorneys and staff by working daily to foster a supporting, understanding and </w:t>
      </w:r>
      <w:r>
        <w:rPr>
          <w:rFonts w:cstheme="minorHAnsi"/>
          <w:sz w:val="24"/>
          <w:szCs w:val="24"/>
        </w:rPr>
        <w:t>collegial</w:t>
      </w:r>
      <w:r w:rsidRPr="00417C9F">
        <w:rPr>
          <w:rFonts w:cstheme="minorHAnsi"/>
          <w:sz w:val="24"/>
          <w:szCs w:val="24"/>
        </w:rPr>
        <w:t xml:space="preserve"> workplace. Jackson &amp; Campbell, P.C. seeks to create an environment and a firm culture where every attorney and staff member has the guidance, mentorship, and desire to stay at our firm for their entire career. </w:t>
      </w:r>
    </w:p>
    <w:p w:rsidRPr="00417C9F" w:rsidR="000E142D" w:rsidP="000E142D" w:rsidRDefault="000E142D" w14:paraId="06285527" w14:textId="77777777">
      <w:pPr>
        <w:spacing w:after="120" w:line="240" w:lineRule="auto"/>
        <w:jc w:val="both"/>
        <w:rPr>
          <w:rFonts w:cstheme="minorHAnsi"/>
          <w:sz w:val="24"/>
          <w:szCs w:val="24"/>
        </w:rPr>
      </w:pPr>
      <w:r w:rsidRPr="00417C9F">
        <w:rPr>
          <w:rFonts w:cstheme="minorHAnsi"/>
          <w:sz w:val="24"/>
          <w:szCs w:val="24"/>
        </w:rPr>
        <w:t>Some highlights of our retention program include:</w:t>
      </w:r>
    </w:p>
    <w:p w:rsidRPr="00417C9F" w:rsidR="000E142D" w:rsidP="000E142D" w:rsidRDefault="000E142D" w14:paraId="54576D04" w14:textId="77777777">
      <w:pPr>
        <w:pStyle w:val="ListParagraph"/>
        <w:numPr>
          <w:ilvl w:val="0"/>
          <w:numId w:val="7"/>
        </w:numPr>
        <w:spacing w:after="120" w:line="240" w:lineRule="auto"/>
        <w:contextualSpacing w:val="0"/>
        <w:jc w:val="both"/>
        <w:rPr>
          <w:rFonts w:cstheme="minorHAnsi"/>
          <w:sz w:val="24"/>
          <w:szCs w:val="24"/>
        </w:rPr>
      </w:pPr>
      <w:r w:rsidRPr="00417C9F">
        <w:rPr>
          <w:rFonts w:cstheme="minorHAnsi"/>
          <w:sz w:val="24"/>
          <w:szCs w:val="24"/>
        </w:rPr>
        <w:t xml:space="preserve">A commitment to provide all attorneys opportunities for mentoring, support, training, and </w:t>
      </w:r>
      <w:proofErr w:type="gramStart"/>
      <w:r w:rsidRPr="00417C9F">
        <w:rPr>
          <w:rFonts w:cstheme="minorHAnsi"/>
          <w:sz w:val="24"/>
          <w:szCs w:val="24"/>
        </w:rPr>
        <w:t>advancement;</w:t>
      </w:r>
      <w:proofErr w:type="gramEnd"/>
      <w:r w:rsidRPr="00417C9F">
        <w:rPr>
          <w:rFonts w:cstheme="minorHAnsi"/>
          <w:sz w:val="24"/>
          <w:szCs w:val="24"/>
        </w:rPr>
        <w:t xml:space="preserve"> </w:t>
      </w:r>
    </w:p>
    <w:p w:rsidRPr="00417C9F" w:rsidR="000E142D" w:rsidP="000E142D" w:rsidRDefault="000E142D" w14:paraId="38FE26F8" w14:textId="77777777">
      <w:pPr>
        <w:pStyle w:val="ListParagraph"/>
        <w:numPr>
          <w:ilvl w:val="0"/>
          <w:numId w:val="7"/>
        </w:numPr>
        <w:spacing w:after="120" w:line="240" w:lineRule="auto"/>
        <w:contextualSpacing w:val="0"/>
        <w:jc w:val="both"/>
        <w:rPr>
          <w:rFonts w:cstheme="minorHAnsi"/>
          <w:sz w:val="24"/>
          <w:szCs w:val="24"/>
        </w:rPr>
      </w:pPr>
      <w:r w:rsidRPr="00417C9F">
        <w:rPr>
          <w:rFonts w:cstheme="minorHAnsi"/>
          <w:sz w:val="24"/>
          <w:szCs w:val="24"/>
        </w:rPr>
        <w:t xml:space="preserve">The ability to offer hands-on experience with clients, courts, and all aspects of the legal process due to our smaller size compared to other D.C. </w:t>
      </w:r>
      <w:proofErr w:type="gramStart"/>
      <w:r w:rsidRPr="00417C9F">
        <w:rPr>
          <w:rFonts w:cstheme="minorHAnsi"/>
          <w:sz w:val="24"/>
          <w:szCs w:val="24"/>
        </w:rPr>
        <w:t>firms;</w:t>
      </w:r>
      <w:proofErr w:type="gramEnd"/>
    </w:p>
    <w:p w:rsidRPr="00417C9F" w:rsidR="000E142D" w:rsidP="000E142D" w:rsidRDefault="000E142D" w14:paraId="0929BCE2" w14:textId="77777777">
      <w:pPr>
        <w:pStyle w:val="ListParagraph"/>
        <w:numPr>
          <w:ilvl w:val="0"/>
          <w:numId w:val="7"/>
        </w:numPr>
        <w:spacing w:after="120" w:line="240" w:lineRule="auto"/>
        <w:contextualSpacing w:val="0"/>
        <w:jc w:val="both"/>
        <w:rPr>
          <w:rFonts w:cstheme="minorHAnsi"/>
          <w:sz w:val="24"/>
          <w:szCs w:val="24"/>
        </w:rPr>
      </w:pPr>
      <w:r w:rsidRPr="00417C9F">
        <w:rPr>
          <w:rFonts w:cstheme="minorHAnsi"/>
          <w:sz w:val="24"/>
          <w:szCs w:val="24"/>
        </w:rPr>
        <w:t xml:space="preserve">Open lines of communication between management and </w:t>
      </w:r>
      <w:proofErr w:type="gramStart"/>
      <w:r w:rsidRPr="00417C9F">
        <w:rPr>
          <w:rFonts w:cstheme="minorHAnsi"/>
          <w:sz w:val="24"/>
          <w:szCs w:val="24"/>
        </w:rPr>
        <w:t>attorneys;</w:t>
      </w:r>
      <w:proofErr w:type="gramEnd"/>
    </w:p>
    <w:p w:rsidRPr="00417C9F" w:rsidR="000E142D" w:rsidP="000E142D" w:rsidRDefault="000E142D" w14:paraId="213FD3D7" w14:textId="77777777">
      <w:pPr>
        <w:pStyle w:val="ListParagraph"/>
        <w:numPr>
          <w:ilvl w:val="0"/>
          <w:numId w:val="7"/>
        </w:numPr>
        <w:spacing w:after="120" w:line="240" w:lineRule="auto"/>
        <w:contextualSpacing w:val="0"/>
        <w:jc w:val="both"/>
        <w:rPr>
          <w:rFonts w:cstheme="minorHAnsi"/>
          <w:sz w:val="24"/>
          <w:szCs w:val="24"/>
        </w:rPr>
      </w:pPr>
      <w:r w:rsidRPr="00417C9F">
        <w:rPr>
          <w:rFonts w:cstheme="minorHAnsi"/>
          <w:sz w:val="24"/>
          <w:szCs w:val="24"/>
        </w:rPr>
        <w:t xml:space="preserve">Professional development in legal skills, building and maintaining client relationships, and gaining management </w:t>
      </w:r>
      <w:proofErr w:type="gramStart"/>
      <w:r w:rsidRPr="00417C9F">
        <w:rPr>
          <w:rFonts w:cstheme="minorHAnsi"/>
          <w:sz w:val="24"/>
          <w:szCs w:val="24"/>
        </w:rPr>
        <w:t>skills;</w:t>
      </w:r>
      <w:proofErr w:type="gramEnd"/>
    </w:p>
    <w:p w:rsidRPr="00417C9F" w:rsidR="000E142D" w:rsidP="000E142D" w:rsidRDefault="000E142D" w14:paraId="28AE9940" w14:textId="77777777">
      <w:pPr>
        <w:pStyle w:val="ListParagraph"/>
        <w:numPr>
          <w:ilvl w:val="0"/>
          <w:numId w:val="7"/>
        </w:numPr>
        <w:spacing w:after="120" w:line="240" w:lineRule="auto"/>
        <w:contextualSpacing w:val="0"/>
        <w:jc w:val="both"/>
        <w:rPr>
          <w:rFonts w:cstheme="minorHAnsi"/>
          <w:sz w:val="24"/>
          <w:szCs w:val="24"/>
        </w:rPr>
      </w:pPr>
      <w:r w:rsidRPr="00417C9F">
        <w:rPr>
          <w:rFonts w:cstheme="minorHAnsi"/>
          <w:sz w:val="24"/>
          <w:szCs w:val="24"/>
        </w:rPr>
        <w:t xml:space="preserve">Encouraging and supporting a healthy work/life </w:t>
      </w:r>
      <w:proofErr w:type="gramStart"/>
      <w:r w:rsidRPr="00417C9F">
        <w:rPr>
          <w:rFonts w:cstheme="minorHAnsi"/>
          <w:sz w:val="24"/>
          <w:szCs w:val="24"/>
        </w:rPr>
        <w:t>balance;</w:t>
      </w:r>
      <w:proofErr w:type="gramEnd"/>
    </w:p>
    <w:p w:rsidR="000E142D" w:rsidP="000E142D" w:rsidRDefault="000E142D" w14:paraId="4D3A044A" w14:textId="68EF0533">
      <w:pPr>
        <w:pStyle w:val="ListParagraph"/>
        <w:numPr>
          <w:ilvl w:val="0"/>
          <w:numId w:val="7"/>
        </w:numPr>
        <w:spacing w:after="120" w:line="240" w:lineRule="auto"/>
        <w:contextualSpacing w:val="0"/>
        <w:jc w:val="both"/>
        <w:rPr>
          <w:rFonts w:cstheme="minorHAnsi"/>
          <w:sz w:val="24"/>
          <w:szCs w:val="24"/>
        </w:rPr>
      </w:pPr>
      <w:r w:rsidRPr="00417C9F">
        <w:rPr>
          <w:rFonts w:cstheme="minorHAnsi"/>
          <w:sz w:val="24"/>
          <w:szCs w:val="24"/>
        </w:rPr>
        <w:t xml:space="preserve">A robust employee wellness </w:t>
      </w:r>
      <w:proofErr w:type="gramStart"/>
      <w:r w:rsidRPr="00417C9F">
        <w:rPr>
          <w:rFonts w:cstheme="minorHAnsi"/>
          <w:sz w:val="24"/>
          <w:szCs w:val="24"/>
        </w:rPr>
        <w:t>program;</w:t>
      </w:r>
      <w:proofErr w:type="gramEnd"/>
      <w:r w:rsidRPr="00417C9F">
        <w:rPr>
          <w:rFonts w:cstheme="minorHAnsi"/>
          <w:sz w:val="24"/>
          <w:szCs w:val="24"/>
        </w:rPr>
        <w:t xml:space="preserve"> </w:t>
      </w:r>
    </w:p>
    <w:p w:rsidRPr="00417C9F" w:rsidR="000E142D" w:rsidP="000E142D" w:rsidRDefault="000E142D" w14:paraId="45C37522" w14:textId="77777777">
      <w:pPr>
        <w:pStyle w:val="ListParagraph"/>
        <w:numPr>
          <w:ilvl w:val="0"/>
          <w:numId w:val="7"/>
        </w:numPr>
        <w:spacing w:after="120" w:line="240" w:lineRule="auto"/>
        <w:contextualSpacing w:val="0"/>
        <w:jc w:val="both"/>
        <w:rPr>
          <w:rFonts w:cstheme="minorHAnsi"/>
          <w:sz w:val="24"/>
          <w:szCs w:val="24"/>
        </w:rPr>
      </w:pPr>
      <w:r>
        <w:rPr>
          <w:rFonts w:cstheme="minorHAnsi"/>
          <w:sz w:val="24"/>
          <w:szCs w:val="24"/>
        </w:rPr>
        <w:t xml:space="preserve">Competitive benefits including 401k and Profit-Sharing Plans with employer matching; </w:t>
      </w:r>
      <w:r w:rsidRPr="00417C9F">
        <w:rPr>
          <w:rFonts w:cstheme="minorHAnsi"/>
          <w:sz w:val="24"/>
          <w:szCs w:val="24"/>
        </w:rPr>
        <w:t>and</w:t>
      </w:r>
    </w:p>
    <w:p w:rsidRPr="00417C9F" w:rsidR="000E142D" w:rsidP="000E142D" w:rsidRDefault="000E142D" w14:paraId="7671628E" w14:textId="77777777">
      <w:pPr>
        <w:pStyle w:val="ListParagraph"/>
        <w:numPr>
          <w:ilvl w:val="0"/>
          <w:numId w:val="7"/>
        </w:numPr>
        <w:spacing w:after="120" w:line="240" w:lineRule="auto"/>
        <w:contextualSpacing w:val="0"/>
        <w:jc w:val="both"/>
        <w:rPr>
          <w:rFonts w:cstheme="minorHAnsi"/>
          <w:sz w:val="24"/>
          <w:szCs w:val="24"/>
        </w:rPr>
      </w:pPr>
      <w:r w:rsidRPr="00417C9F">
        <w:rPr>
          <w:rFonts w:cstheme="minorHAnsi"/>
          <w:sz w:val="24"/>
          <w:szCs w:val="24"/>
        </w:rPr>
        <w:t>An enthusiastic and engaged Diversity, Equity, &amp; Inclusion Committee that focuses on:</w:t>
      </w:r>
    </w:p>
    <w:p w:rsidRPr="00417C9F" w:rsidR="000E142D" w:rsidP="000E142D" w:rsidRDefault="000E142D" w14:paraId="76DECD2E" w14:textId="77777777">
      <w:pPr>
        <w:pStyle w:val="ListParagraph"/>
        <w:numPr>
          <w:ilvl w:val="1"/>
          <w:numId w:val="4"/>
        </w:numPr>
        <w:spacing w:after="120" w:line="240" w:lineRule="auto"/>
        <w:contextualSpacing w:val="0"/>
        <w:jc w:val="both"/>
        <w:rPr>
          <w:rFonts w:cstheme="minorHAnsi"/>
          <w:sz w:val="24"/>
          <w:szCs w:val="24"/>
        </w:rPr>
      </w:pPr>
      <w:r w:rsidRPr="00417C9F">
        <w:rPr>
          <w:rFonts w:cstheme="minorHAnsi"/>
          <w:sz w:val="24"/>
          <w:szCs w:val="24"/>
        </w:rPr>
        <w:t xml:space="preserve">Ensuring a supportive and inclusive environment for </w:t>
      </w:r>
      <w:proofErr w:type="gramStart"/>
      <w:r w:rsidRPr="00417C9F">
        <w:rPr>
          <w:rFonts w:cstheme="minorHAnsi"/>
          <w:sz w:val="24"/>
          <w:szCs w:val="24"/>
        </w:rPr>
        <w:t>all;</w:t>
      </w:r>
      <w:proofErr w:type="gramEnd"/>
    </w:p>
    <w:p w:rsidRPr="00417C9F" w:rsidR="000E142D" w:rsidP="000E142D" w:rsidRDefault="000E142D" w14:paraId="5C72579E" w14:textId="77777777">
      <w:pPr>
        <w:pStyle w:val="ListParagraph"/>
        <w:numPr>
          <w:ilvl w:val="1"/>
          <w:numId w:val="4"/>
        </w:numPr>
        <w:spacing w:after="120" w:line="240" w:lineRule="auto"/>
        <w:contextualSpacing w:val="0"/>
        <w:jc w:val="both"/>
        <w:rPr>
          <w:rFonts w:cstheme="minorHAnsi"/>
          <w:sz w:val="24"/>
          <w:szCs w:val="24"/>
        </w:rPr>
      </w:pPr>
      <w:r w:rsidRPr="00417C9F">
        <w:rPr>
          <w:rFonts w:cstheme="minorHAnsi"/>
          <w:sz w:val="24"/>
          <w:szCs w:val="24"/>
        </w:rPr>
        <w:t xml:space="preserve">Stiving to build and retain a J&amp;C Team that reflects our </w:t>
      </w:r>
      <w:proofErr w:type="gramStart"/>
      <w:r w:rsidRPr="00417C9F">
        <w:rPr>
          <w:rFonts w:cstheme="minorHAnsi"/>
          <w:sz w:val="24"/>
          <w:szCs w:val="24"/>
        </w:rPr>
        <w:t>community;</w:t>
      </w:r>
      <w:proofErr w:type="gramEnd"/>
    </w:p>
    <w:p w:rsidRPr="00417C9F" w:rsidR="000E142D" w:rsidP="000E142D" w:rsidRDefault="000E142D" w14:paraId="2998369F" w14:textId="77777777">
      <w:pPr>
        <w:pStyle w:val="ListParagraph"/>
        <w:numPr>
          <w:ilvl w:val="1"/>
          <w:numId w:val="4"/>
        </w:numPr>
        <w:spacing w:after="120" w:line="240" w:lineRule="auto"/>
        <w:contextualSpacing w:val="0"/>
        <w:jc w:val="both"/>
        <w:rPr>
          <w:rFonts w:cstheme="minorHAnsi"/>
          <w:sz w:val="24"/>
          <w:szCs w:val="24"/>
        </w:rPr>
      </w:pPr>
      <w:r w:rsidRPr="00417C9F">
        <w:rPr>
          <w:rFonts w:cstheme="minorHAnsi"/>
          <w:sz w:val="24"/>
          <w:szCs w:val="24"/>
        </w:rPr>
        <w:t xml:space="preserve">Organizing firm-wide events that allow every member of the J&amp;C Team to socialize and celebrate important </w:t>
      </w:r>
      <w:proofErr w:type="gramStart"/>
      <w:r w:rsidRPr="00417C9F">
        <w:rPr>
          <w:rFonts w:cstheme="minorHAnsi"/>
          <w:sz w:val="24"/>
          <w:szCs w:val="24"/>
        </w:rPr>
        <w:t>events;</w:t>
      </w:r>
      <w:proofErr w:type="gramEnd"/>
      <w:r w:rsidRPr="00417C9F">
        <w:rPr>
          <w:rFonts w:cstheme="minorHAnsi"/>
          <w:sz w:val="24"/>
          <w:szCs w:val="24"/>
        </w:rPr>
        <w:t xml:space="preserve"> </w:t>
      </w:r>
    </w:p>
    <w:p w:rsidRPr="00417C9F" w:rsidR="000E142D" w:rsidP="000E142D" w:rsidRDefault="000E142D" w14:paraId="4F742CA8" w14:textId="77777777">
      <w:pPr>
        <w:pStyle w:val="ListParagraph"/>
        <w:numPr>
          <w:ilvl w:val="1"/>
          <w:numId w:val="4"/>
        </w:numPr>
        <w:spacing w:after="120" w:line="240" w:lineRule="auto"/>
        <w:contextualSpacing w:val="0"/>
        <w:jc w:val="both"/>
        <w:rPr>
          <w:rFonts w:cstheme="minorHAnsi"/>
          <w:sz w:val="24"/>
          <w:szCs w:val="24"/>
        </w:rPr>
      </w:pPr>
      <w:r w:rsidRPr="00417C9F">
        <w:rPr>
          <w:rFonts w:cstheme="minorHAnsi"/>
          <w:sz w:val="24"/>
          <w:szCs w:val="24"/>
        </w:rPr>
        <w:t xml:space="preserve">Reenergizing the firm’s recruitments efforts, including reaching out to underrepresented groups in the legal </w:t>
      </w:r>
      <w:proofErr w:type="gramStart"/>
      <w:r w:rsidRPr="00417C9F">
        <w:rPr>
          <w:rFonts w:cstheme="minorHAnsi"/>
          <w:sz w:val="24"/>
          <w:szCs w:val="24"/>
        </w:rPr>
        <w:t>world;</w:t>
      </w:r>
      <w:proofErr w:type="gramEnd"/>
    </w:p>
    <w:p w:rsidRPr="00417C9F" w:rsidR="000E142D" w:rsidP="000E142D" w:rsidRDefault="000E142D" w14:paraId="36E1FA08" w14:textId="77777777">
      <w:pPr>
        <w:pStyle w:val="ListParagraph"/>
        <w:numPr>
          <w:ilvl w:val="1"/>
          <w:numId w:val="4"/>
        </w:numPr>
        <w:spacing w:after="120" w:line="240" w:lineRule="auto"/>
        <w:contextualSpacing w:val="0"/>
        <w:jc w:val="both"/>
        <w:rPr>
          <w:rFonts w:cstheme="minorHAnsi"/>
          <w:sz w:val="24"/>
          <w:szCs w:val="24"/>
        </w:rPr>
      </w:pPr>
      <w:r w:rsidRPr="00417C9F">
        <w:rPr>
          <w:rFonts w:cstheme="minorHAnsi"/>
          <w:sz w:val="24"/>
          <w:szCs w:val="24"/>
        </w:rPr>
        <w:t>Working with law schools and other programs to support, guide, and encourage students interested in pursuing a legal education and career; and</w:t>
      </w:r>
    </w:p>
    <w:p w:rsidRPr="00417C9F" w:rsidR="000E142D" w:rsidP="000E142D" w:rsidRDefault="000E142D" w14:paraId="1641C5F2" w14:textId="77777777">
      <w:pPr>
        <w:pStyle w:val="ListParagraph"/>
        <w:numPr>
          <w:ilvl w:val="1"/>
          <w:numId w:val="4"/>
        </w:numPr>
        <w:spacing w:after="120" w:line="240" w:lineRule="auto"/>
        <w:contextualSpacing w:val="0"/>
        <w:jc w:val="both"/>
        <w:rPr>
          <w:rFonts w:cstheme="minorHAnsi"/>
          <w:sz w:val="24"/>
          <w:szCs w:val="24"/>
        </w:rPr>
      </w:pPr>
      <w:r w:rsidRPr="00417C9F">
        <w:rPr>
          <w:rFonts w:cstheme="minorHAnsi"/>
          <w:sz w:val="24"/>
          <w:szCs w:val="24"/>
        </w:rPr>
        <w:t>Supporting our local community and numerous DMV organizations to promote fairness and equity.</w:t>
      </w:r>
    </w:p>
    <w:p w:rsidRPr="00417C9F" w:rsidR="000E142D" w:rsidP="000E142D" w:rsidRDefault="000E142D" w14:paraId="7453A1DD" w14:textId="77777777">
      <w:pPr>
        <w:spacing w:after="120" w:line="240" w:lineRule="auto"/>
        <w:jc w:val="both"/>
        <w:rPr>
          <w:rFonts w:cstheme="minorHAnsi"/>
          <w:sz w:val="24"/>
          <w:szCs w:val="24"/>
          <w:u w:val="single"/>
        </w:rPr>
      </w:pPr>
      <w:r w:rsidRPr="00417C9F">
        <w:rPr>
          <w:rFonts w:cstheme="minorHAnsi"/>
          <w:sz w:val="24"/>
          <w:szCs w:val="24"/>
          <w:u w:val="single"/>
        </w:rPr>
        <w:br w:type="page"/>
      </w:r>
    </w:p>
    <w:p w:rsidRPr="00417C9F" w:rsidR="000E142D" w:rsidP="000E142D" w:rsidRDefault="000E142D" w14:paraId="47758A07" w14:textId="1D5E9458">
      <w:pPr>
        <w:spacing w:after="240" w:line="240" w:lineRule="auto"/>
        <w:jc w:val="both"/>
        <w:rPr>
          <w:rFonts w:cstheme="minorHAnsi"/>
          <w:sz w:val="24"/>
          <w:szCs w:val="24"/>
          <w:u w:val="single"/>
        </w:rPr>
      </w:pPr>
      <w:r w:rsidRPr="00417C9F">
        <w:rPr>
          <w:rFonts w:cstheme="minorHAnsi"/>
          <w:sz w:val="24"/>
          <w:szCs w:val="24"/>
          <w:u w:val="single"/>
        </w:rPr>
        <w:lastRenderedPageBreak/>
        <w:t>Wellness</w:t>
      </w:r>
    </w:p>
    <w:p w:rsidRPr="00417C9F" w:rsidR="000E142D" w:rsidP="000E142D" w:rsidRDefault="000E142D" w14:paraId="033D1A5E" w14:textId="77777777">
      <w:pPr>
        <w:spacing w:after="120" w:line="240" w:lineRule="auto"/>
        <w:jc w:val="both"/>
        <w:rPr>
          <w:rFonts w:cstheme="minorHAnsi"/>
          <w:sz w:val="24"/>
          <w:szCs w:val="24"/>
        </w:rPr>
      </w:pPr>
      <w:r w:rsidRPr="00417C9F">
        <w:rPr>
          <w:rFonts w:cstheme="minorHAnsi"/>
          <w:sz w:val="24"/>
          <w:szCs w:val="24"/>
        </w:rPr>
        <w:t xml:space="preserve">Jackson &amp; Campbell, P.C. values and appreciates every member of our team.  We </w:t>
      </w:r>
      <w:r>
        <w:rPr>
          <w:rFonts w:cstheme="minorHAnsi"/>
          <w:sz w:val="24"/>
          <w:szCs w:val="24"/>
        </w:rPr>
        <w:t>are committed to supporting our valued team members by diligently reducing workplace stress and fostering a healthy environment</w:t>
      </w:r>
      <w:r w:rsidRPr="00417C9F">
        <w:rPr>
          <w:rFonts w:cstheme="minorHAnsi"/>
          <w:sz w:val="24"/>
          <w:szCs w:val="24"/>
        </w:rPr>
        <w:t xml:space="preserve">.  To support the wellness of our team members, Jackson &amp; Campbell </w:t>
      </w:r>
      <w:r>
        <w:rPr>
          <w:rFonts w:cstheme="minorHAnsi"/>
          <w:sz w:val="24"/>
          <w:szCs w:val="24"/>
        </w:rPr>
        <w:t xml:space="preserve">encourages all employees to take care of their health and participate in firm programs and initiatives that include the following </w:t>
      </w:r>
      <w:r w:rsidRPr="00417C9F">
        <w:rPr>
          <w:rFonts w:cstheme="minorHAnsi"/>
          <w:sz w:val="24"/>
          <w:szCs w:val="24"/>
        </w:rPr>
        <w:t xml:space="preserve"> full complement of benefits: </w:t>
      </w:r>
    </w:p>
    <w:p w:rsidRPr="00417C9F" w:rsidR="000E142D" w:rsidP="000E142D" w:rsidRDefault="000E142D" w14:paraId="5A294A3C" w14:textId="77777777">
      <w:pPr>
        <w:pStyle w:val="ListParagraph"/>
        <w:numPr>
          <w:ilvl w:val="0"/>
          <w:numId w:val="5"/>
        </w:numPr>
        <w:spacing w:after="120" w:line="240" w:lineRule="auto"/>
        <w:contextualSpacing w:val="0"/>
        <w:jc w:val="both"/>
        <w:rPr>
          <w:rFonts w:cstheme="minorHAnsi"/>
          <w:sz w:val="24"/>
          <w:szCs w:val="24"/>
        </w:rPr>
      </w:pPr>
      <w:r w:rsidRPr="00417C9F">
        <w:rPr>
          <w:rFonts w:cstheme="minorHAnsi"/>
          <w:sz w:val="24"/>
          <w:szCs w:val="24"/>
        </w:rPr>
        <w:t>Employee Assistance Program (</w:t>
      </w:r>
      <w:proofErr w:type="spellStart"/>
      <w:r w:rsidRPr="00417C9F">
        <w:rPr>
          <w:rFonts w:cstheme="minorHAnsi"/>
          <w:sz w:val="24"/>
          <w:szCs w:val="24"/>
        </w:rPr>
        <w:t>EAP</w:t>
      </w:r>
      <w:proofErr w:type="spellEnd"/>
      <w:r w:rsidRPr="00417C9F">
        <w:rPr>
          <w:rFonts w:cstheme="minorHAnsi"/>
          <w:sz w:val="24"/>
          <w:szCs w:val="24"/>
        </w:rPr>
        <w:t>) (wide range of well-being benefits)</w:t>
      </w:r>
    </w:p>
    <w:p w:rsidRPr="00417C9F" w:rsidR="000E142D" w:rsidP="000E142D" w:rsidRDefault="000E142D" w14:paraId="7D11C194" w14:textId="77777777">
      <w:pPr>
        <w:pStyle w:val="ListParagraph"/>
        <w:numPr>
          <w:ilvl w:val="0"/>
          <w:numId w:val="5"/>
        </w:numPr>
        <w:spacing w:after="120" w:line="240" w:lineRule="auto"/>
        <w:contextualSpacing w:val="0"/>
        <w:jc w:val="both"/>
        <w:rPr>
          <w:rFonts w:cstheme="minorHAnsi"/>
          <w:sz w:val="24"/>
          <w:szCs w:val="24"/>
        </w:rPr>
      </w:pPr>
      <w:r>
        <w:rPr>
          <w:rFonts w:cstheme="minorHAnsi"/>
          <w:sz w:val="24"/>
          <w:szCs w:val="24"/>
        </w:rPr>
        <w:t>Parental</w:t>
      </w:r>
      <w:r w:rsidRPr="00417C9F">
        <w:rPr>
          <w:rFonts w:cstheme="minorHAnsi"/>
          <w:sz w:val="24"/>
          <w:szCs w:val="24"/>
        </w:rPr>
        <w:t xml:space="preserve"> Leave</w:t>
      </w:r>
    </w:p>
    <w:p w:rsidRPr="00417C9F" w:rsidR="000E142D" w:rsidP="000E142D" w:rsidRDefault="000E142D" w14:paraId="2D3C3D2F" w14:textId="77777777">
      <w:pPr>
        <w:pStyle w:val="ListParagraph"/>
        <w:numPr>
          <w:ilvl w:val="0"/>
          <w:numId w:val="5"/>
        </w:numPr>
        <w:spacing w:after="120" w:line="240" w:lineRule="auto"/>
        <w:contextualSpacing w:val="0"/>
        <w:jc w:val="both"/>
        <w:rPr>
          <w:rFonts w:cstheme="minorHAnsi"/>
          <w:sz w:val="24"/>
          <w:szCs w:val="24"/>
        </w:rPr>
      </w:pPr>
      <w:r w:rsidRPr="00417C9F">
        <w:rPr>
          <w:rFonts w:cstheme="minorHAnsi"/>
          <w:sz w:val="24"/>
          <w:szCs w:val="24"/>
        </w:rPr>
        <w:t>Annual Vacation Leave and Sick Leave</w:t>
      </w:r>
    </w:p>
    <w:p w:rsidRPr="00417C9F" w:rsidR="000E142D" w:rsidP="000E142D" w:rsidRDefault="000E142D" w14:paraId="7B03F5A2" w14:textId="77777777">
      <w:pPr>
        <w:pStyle w:val="ListParagraph"/>
        <w:numPr>
          <w:ilvl w:val="0"/>
          <w:numId w:val="5"/>
        </w:numPr>
        <w:spacing w:after="120" w:line="240" w:lineRule="auto"/>
        <w:contextualSpacing w:val="0"/>
        <w:jc w:val="both"/>
        <w:rPr>
          <w:rFonts w:cstheme="minorHAnsi"/>
          <w:sz w:val="24"/>
          <w:szCs w:val="24"/>
        </w:rPr>
      </w:pPr>
      <w:r w:rsidRPr="00417C9F">
        <w:rPr>
          <w:rFonts w:cstheme="minorHAnsi"/>
          <w:sz w:val="24"/>
          <w:szCs w:val="24"/>
        </w:rPr>
        <w:t>Bereavement Leave</w:t>
      </w:r>
    </w:p>
    <w:p w:rsidRPr="00417C9F" w:rsidR="000E142D" w:rsidP="000E142D" w:rsidRDefault="000E142D" w14:paraId="61F34594" w14:textId="77777777">
      <w:pPr>
        <w:pStyle w:val="ListParagraph"/>
        <w:numPr>
          <w:ilvl w:val="0"/>
          <w:numId w:val="5"/>
        </w:numPr>
        <w:spacing w:after="120" w:line="240" w:lineRule="auto"/>
        <w:contextualSpacing w:val="0"/>
        <w:jc w:val="both"/>
        <w:rPr>
          <w:rFonts w:cstheme="minorHAnsi"/>
          <w:sz w:val="24"/>
          <w:szCs w:val="24"/>
        </w:rPr>
      </w:pPr>
      <w:r w:rsidRPr="00417C9F">
        <w:rPr>
          <w:rFonts w:cstheme="minorHAnsi"/>
          <w:sz w:val="24"/>
          <w:szCs w:val="24"/>
        </w:rPr>
        <w:t>Ten holidays observed annually, along with two floating holidays</w:t>
      </w:r>
    </w:p>
    <w:p w:rsidRPr="00417C9F" w:rsidR="000E142D" w:rsidP="000E142D" w:rsidRDefault="000E142D" w14:paraId="4CC1372D" w14:textId="77777777">
      <w:pPr>
        <w:pStyle w:val="ListParagraph"/>
        <w:numPr>
          <w:ilvl w:val="0"/>
          <w:numId w:val="5"/>
        </w:numPr>
        <w:spacing w:after="120" w:line="240" w:lineRule="auto"/>
        <w:contextualSpacing w:val="0"/>
        <w:jc w:val="both"/>
        <w:rPr>
          <w:rFonts w:cstheme="minorHAnsi"/>
          <w:sz w:val="24"/>
          <w:szCs w:val="24"/>
        </w:rPr>
      </w:pPr>
      <w:r w:rsidRPr="00417C9F">
        <w:rPr>
          <w:rFonts w:cstheme="minorHAnsi"/>
          <w:sz w:val="24"/>
          <w:szCs w:val="24"/>
        </w:rPr>
        <w:t>Fitness Facility (free access to fitness center located in firm’s office building)</w:t>
      </w:r>
    </w:p>
    <w:p w:rsidRPr="00417C9F" w:rsidR="000E142D" w:rsidP="000E142D" w:rsidRDefault="000E142D" w14:paraId="2B6E8F38" w14:textId="77777777">
      <w:pPr>
        <w:pStyle w:val="ListParagraph"/>
        <w:numPr>
          <w:ilvl w:val="0"/>
          <w:numId w:val="5"/>
        </w:numPr>
        <w:spacing w:after="120" w:line="240" w:lineRule="auto"/>
        <w:contextualSpacing w:val="0"/>
        <w:jc w:val="both"/>
        <w:rPr>
          <w:rFonts w:cstheme="minorHAnsi"/>
          <w:sz w:val="24"/>
          <w:szCs w:val="24"/>
        </w:rPr>
      </w:pPr>
      <w:r w:rsidRPr="00417C9F">
        <w:rPr>
          <w:rFonts w:cstheme="minorHAnsi"/>
          <w:sz w:val="24"/>
          <w:szCs w:val="24"/>
        </w:rPr>
        <w:t>Short-Term Disability:  60% of weekly salary up to $2,000 for 10 weeks</w:t>
      </w:r>
    </w:p>
    <w:p w:rsidRPr="00417C9F" w:rsidR="000E142D" w:rsidP="000E142D" w:rsidRDefault="000E142D" w14:paraId="4B7910F7" w14:textId="77777777">
      <w:pPr>
        <w:pStyle w:val="ListParagraph"/>
        <w:numPr>
          <w:ilvl w:val="0"/>
          <w:numId w:val="5"/>
        </w:numPr>
        <w:spacing w:after="120" w:line="240" w:lineRule="auto"/>
        <w:contextualSpacing w:val="0"/>
        <w:jc w:val="both"/>
        <w:rPr>
          <w:rFonts w:cstheme="minorHAnsi"/>
          <w:sz w:val="24"/>
          <w:szCs w:val="24"/>
        </w:rPr>
      </w:pPr>
      <w:r w:rsidRPr="00417C9F">
        <w:rPr>
          <w:rFonts w:cstheme="minorHAnsi"/>
          <w:sz w:val="24"/>
          <w:szCs w:val="24"/>
        </w:rPr>
        <w:t>Long-Term Disability:  60% of monthly salary up to $6,000.  Duration based on condition and age at time of disability.</w:t>
      </w:r>
    </w:p>
    <w:p w:rsidRPr="00417C9F" w:rsidR="000E142D" w:rsidP="000E142D" w:rsidRDefault="000E142D" w14:paraId="7E8CA15A" w14:textId="77777777">
      <w:pPr>
        <w:pStyle w:val="ListParagraph"/>
        <w:numPr>
          <w:ilvl w:val="0"/>
          <w:numId w:val="5"/>
        </w:numPr>
        <w:spacing w:after="120" w:line="240" w:lineRule="auto"/>
        <w:contextualSpacing w:val="0"/>
        <w:jc w:val="both"/>
        <w:rPr>
          <w:rFonts w:cstheme="minorHAnsi"/>
          <w:sz w:val="24"/>
          <w:szCs w:val="24"/>
        </w:rPr>
      </w:pPr>
      <w:r w:rsidRPr="00417C9F">
        <w:rPr>
          <w:rFonts w:cstheme="minorHAnsi"/>
          <w:sz w:val="24"/>
          <w:szCs w:val="24"/>
        </w:rPr>
        <w:t>Health Plan HMO and PPO options with the following available:</w:t>
      </w:r>
    </w:p>
    <w:p w:rsidRPr="00417C9F" w:rsidR="000E142D" w:rsidP="000E142D" w:rsidRDefault="000E142D" w14:paraId="741700CA" w14:textId="77777777">
      <w:pPr>
        <w:pStyle w:val="ListParagraph"/>
        <w:numPr>
          <w:ilvl w:val="1"/>
          <w:numId w:val="5"/>
        </w:numPr>
        <w:spacing w:after="120" w:line="240" w:lineRule="auto"/>
        <w:contextualSpacing w:val="0"/>
        <w:jc w:val="both"/>
        <w:rPr>
          <w:rFonts w:cstheme="minorHAnsi"/>
          <w:sz w:val="24"/>
          <w:szCs w:val="24"/>
        </w:rPr>
      </w:pPr>
      <w:r w:rsidRPr="00417C9F">
        <w:rPr>
          <w:rFonts w:cstheme="minorHAnsi"/>
          <w:sz w:val="24"/>
          <w:szCs w:val="24"/>
        </w:rPr>
        <w:t>Health Savings Account (HSA) (tax-advantaged funding by Employee, with Firm contribution)</w:t>
      </w:r>
    </w:p>
    <w:p w:rsidRPr="00417C9F" w:rsidR="000E142D" w:rsidP="000E142D" w:rsidRDefault="000E142D" w14:paraId="31863268" w14:textId="77777777">
      <w:pPr>
        <w:pStyle w:val="ListParagraph"/>
        <w:numPr>
          <w:ilvl w:val="1"/>
          <w:numId w:val="5"/>
        </w:numPr>
        <w:spacing w:after="120" w:line="240" w:lineRule="auto"/>
        <w:contextualSpacing w:val="0"/>
        <w:jc w:val="both"/>
        <w:rPr>
          <w:rFonts w:cstheme="minorHAnsi"/>
          <w:sz w:val="24"/>
          <w:szCs w:val="24"/>
        </w:rPr>
      </w:pPr>
      <w:r w:rsidRPr="00417C9F">
        <w:rPr>
          <w:rFonts w:cstheme="minorHAnsi"/>
          <w:sz w:val="24"/>
          <w:szCs w:val="24"/>
        </w:rPr>
        <w:t>Health Reimbursement Arrangement (</w:t>
      </w:r>
      <w:proofErr w:type="spellStart"/>
      <w:r w:rsidRPr="00417C9F">
        <w:rPr>
          <w:rFonts w:cstheme="minorHAnsi"/>
          <w:sz w:val="24"/>
          <w:szCs w:val="24"/>
        </w:rPr>
        <w:t>HRA</w:t>
      </w:r>
      <w:proofErr w:type="spellEnd"/>
      <w:r w:rsidRPr="00417C9F">
        <w:rPr>
          <w:rFonts w:cstheme="minorHAnsi"/>
          <w:sz w:val="24"/>
          <w:szCs w:val="24"/>
        </w:rPr>
        <w:t>) (fully funded by the Firm)</w:t>
      </w:r>
    </w:p>
    <w:p w:rsidRPr="00417C9F" w:rsidR="000E142D" w:rsidP="000E142D" w:rsidRDefault="000E142D" w14:paraId="04487E5A" w14:textId="77777777">
      <w:pPr>
        <w:pStyle w:val="ListParagraph"/>
        <w:numPr>
          <w:ilvl w:val="0"/>
          <w:numId w:val="5"/>
        </w:numPr>
        <w:spacing w:after="120" w:line="240" w:lineRule="auto"/>
        <w:contextualSpacing w:val="0"/>
        <w:jc w:val="both"/>
        <w:rPr>
          <w:rFonts w:cstheme="minorHAnsi"/>
          <w:sz w:val="24"/>
          <w:szCs w:val="24"/>
        </w:rPr>
      </w:pPr>
      <w:r w:rsidRPr="00417C9F">
        <w:rPr>
          <w:rFonts w:cstheme="minorHAnsi"/>
          <w:sz w:val="24"/>
          <w:szCs w:val="24"/>
        </w:rPr>
        <w:t>Vision Insurance</w:t>
      </w:r>
    </w:p>
    <w:p w:rsidRPr="00417C9F" w:rsidR="000E142D" w:rsidP="000E142D" w:rsidRDefault="000E142D" w14:paraId="6C23E981" w14:textId="77777777">
      <w:pPr>
        <w:pStyle w:val="ListParagraph"/>
        <w:numPr>
          <w:ilvl w:val="0"/>
          <w:numId w:val="5"/>
        </w:numPr>
        <w:spacing w:after="120" w:line="240" w:lineRule="auto"/>
        <w:contextualSpacing w:val="0"/>
        <w:jc w:val="both"/>
        <w:rPr>
          <w:rFonts w:cstheme="minorHAnsi"/>
          <w:sz w:val="24"/>
          <w:szCs w:val="24"/>
        </w:rPr>
      </w:pPr>
      <w:r w:rsidRPr="00417C9F">
        <w:rPr>
          <w:rFonts w:cstheme="minorHAnsi"/>
          <w:sz w:val="24"/>
          <w:szCs w:val="24"/>
        </w:rPr>
        <w:t>Dental Insurance</w:t>
      </w:r>
    </w:p>
    <w:p w:rsidRPr="00417C9F" w:rsidR="000E142D" w:rsidP="000E142D" w:rsidRDefault="000E142D" w14:paraId="38C1FD83" w14:textId="77777777">
      <w:pPr>
        <w:pStyle w:val="ListParagraph"/>
        <w:numPr>
          <w:ilvl w:val="0"/>
          <w:numId w:val="5"/>
        </w:numPr>
        <w:spacing w:after="120" w:line="240" w:lineRule="auto"/>
        <w:contextualSpacing w:val="0"/>
        <w:jc w:val="both"/>
        <w:rPr>
          <w:rFonts w:cstheme="minorHAnsi"/>
          <w:sz w:val="24"/>
          <w:szCs w:val="24"/>
        </w:rPr>
      </w:pPr>
      <w:r w:rsidRPr="00417C9F">
        <w:rPr>
          <w:rFonts w:cstheme="minorHAnsi"/>
          <w:sz w:val="24"/>
          <w:szCs w:val="24"/>
        </w:rPr>
        <w:t>Flexible Spending Account (FSA) (pre-tax benefit funded by Employee)</w:t>
      </w:r>
    </w:p>
    <w:p w:rsidRPr="00417C9F" w:rsidR="000E142D" w:rsidP="000E142D" w:rsidRDefault="000E142D" w14:paraId="052769FA" w14:textId="77777777">
      <w:pPr>
        <w:pStyle w:val="ListParagraph"/>
        <w:numPr>
          <w:ilvl w:val="0"/>
          <w:numId w:val="5"/>
        </w:numPr>
        <w:spacing w:after="120" w:line="240" w:lineRule="auto"/>
        <w:contextualSpacing w:val="0"/>
        <w:jc w:val="both"/>
        <w:rPr>
          <w:rFonts w:cstheme="minorHAnsi"/>
          <w:sz w:val="24"/>
          <w:szCs w:val="24"/>
        </w:rPr>
      </w:pPr>
      <w:r w:rsidRPr="00417C9F">
        <w:rPr>
          <w:rFonts w:cstheme="minorHAnsi"/>
          <w:sz w:val="24"/>
          <w:szCs w:val="24"/>
        </w:rPr>
        <w:t>Life Insurance:  1.5 times annual salary to a maximum of $150,000</w:t>
      </w:r>
    </w:p>
    <w:p w:rsidRPr="00417C9F" w:rsidR="000E142D" w:rsidP="000E142D" w:rsidRDefault="000E142D" w14:paraId="54195810" w14:textId="77777777">
      <w:pPr>
        <w:spacing w:after="120" w:line="240" w:lineRule="auto"/>
        <w:jc w:val="both"/>
        <w:rPr>
          <w:rFonts w:cstheme="minorHAnsi"/>
          <w:sz w:val="24"/>
          <w:szCs w:val="24"/>
          <w:u w:val="single"/>
        </w:rPr>
      </w:pPr>
      <w:r w:rsidRPr="00417C9F">
        <w:rPr>
          <w:rFonts w:cstheme="minorHAnsi"/>
          <w:sz w:val="24"/>
          <w:szCs w:val="24"/>
          <w:u w:val="single"/>
        </w:rPr>
        <w:br w:type="page"/>
      </w:r>
    </w:p>
    <w:p w:rsidRPr="00417C9F" w:rsidR="000E142D" w:rsidP="000E142D" w:rsidRDefault="000E142D" w14:paraId="6B543926" w14:textId="506DC0FF">
      <w:pPr>
        <w:spacing w:after="240" w:line="240" w:lineRule="auto"/>
        <w:jc w:val="both"/>
        <w:rPr>
          <w:rFonts w:cstheme="minorHAnsi"/>
          <w:sz w:val="24"/>
          <w:szCs w:val="24"/>
          <w:u w:val="single"/>
        </w:rPr>
      </w:pPr>
      <w:r w:rsidRPr="00417C9F">
        <w:rPr>
          <w:rFonts w:cstheme="minorHAnsi"/>
          <w:sz w:val="24"/>
          <w:szCs w:val="24"/>
          <w:u w:val="single"/>
        </w:rPr>
        <w:lastRenderedPageBreak/>
        <w:t xml:space="preserve">Flexibility </w:t>
      </w:r>
    </w:p>
    <w:p w:rsidRPr="00417C9F" w:rsidR="000E142D" w:rsidP="000E142D" w:rsidRDefault="000E142D" w14:paraId="192150C2" w14:textId="77777777">
      <w:pPr>
        <w:spacing w:after="120" w:line="240" w:lineRule="auto"/>
        <w:jc w:val="both"/>
        <w:rPr>
          <w:rFonts w:cstheme="minorHAnsi"/>
          <w:sz w:val="24"/>
          <w:szCs w:val="24"/>
        </w:rPr>
      </w:pPr>
      <w:r w:rsidRPr="00417C9F">
        <w:rPr>
          <w:rFonts w:cstheme="minorHAnsi"/>
          <w:sz w:val="24"/>
          <w:szCs w:val="24"/>
        </w:rPr>
        <w:t>Jackson &amp; Campbell recognizes the need for and supports workplace flexibility, while ensuring that its clients receive the highest level of legal services. As part of its commitment to working with employees on a positive and supportive workplace, the Firm:</w:t>
      </w:r>
    </w:p>
    <w:p w:rsidRPr="00417C9F" w:rsidR="000E142D" w:rsidP="000E142D" w:rsidRDefault="000E142D" w14:paraId="2E23CFF6" w14:textId="77777777">
      <w:pPr>
        <w:pStyle w:val="ListParagraph"/>
        <w:numPr>
          <w:ilvl w:val="0"/>
          <w:numId w:val="6"/>
        </w:numPr>
        <w:spacing w:after="120" w:line="240" w:lineRule="auto"/>
        <w:contextualSpacing w:val="0"/>
        <w:jc w:val="both"/>
        <w:rPr>
          <w:rFonts w:cstheme="minorHAnsi"/>
          <w:sz w:val="24"/>
          <w:szCs w:val="24"/>
        </w:rPr>
      </w:pPr>
      <w:r w:rsidRPr="00417C9F">
        <w:rPr>
          <w:rFonts w:cstheme="minorHAnsi"/>
          <w:sz w:val="24"/>
          <w:szCs w:val="24"/>
        </w:rPr>
        <w:t>Offers a hybrid work schedule</w:t>
      </w:r>
    </w:p>
    <w:p w:rsidRPr="00417C9F" w:rsidR="000E142D" w:rsidP="000E142D" w:rsidRDefault="000E142D" w14:paraId="2EEDCDA9" w14:textId="77777777">
      <w:pPr>
        <w:pStyle w:val="ListParagraph"/>
        <w:numPr>
          <w:ilvl w:val="0"/>
          <w:numId w:val="6"/>
        </w:numPr>
        <w:spacing w:after="120" w:line="240" w:lineRule="auto"/>
        <w:contextualSpacing w:val="0"/>
        <w:jc w:val="both"/>
        <w:rPr>
          <w:rFonts w:cstheme="minorHAnsi"/>
          <w:sz w:val="24"/>
          <w:szCs w:val="24"/>
        </w:rPr>
      </w:pPr>
      <w:r w:rsidRPr="00417C9F">
        <w:rPr>
          <w:rFonts w:cstheme="minorHAnsi"/>
          <w:sz w:val="24"/>
          <w:szCs w:val="24"/>
        </w:rPr>
        <w:t>Works with its professional staff who request reduced billable hour requirements and work schedules</w:t>
      </w:r>
    </w:p>
    <w:p w:rsidRPr="00417C9F" w:rsidR="000E142D" w:rsidP="000E142D" w:rsidRDefault="000E142D" w14:paraId="73F79632" w14:textId="77777777">
      <w:pPr>
        <w:pStyle w:val="ListParagraph"/>
        <w:numPr>
          <w:ilvl w:val="0"/>
          <w:numId w:val="6"/>
        </w:numPr>
        <w:spacing w:after="120" w:line="240" w:lineRule="auto"/>
        <w:contextualSpacing w:val="0"/>
        <w:jc w:val="both"/>
        <w:rPr>
          <w:rFonts w:cstheme="minorHAnsi"/>
          <w:sz w:val="24"/>
          <w:szCs w:val="24"/>
        </w:rPr>
      </w:pPr>
      <w:r w:rsidRPr="00417C9F">
        <w:rPr>
          <w:rFonts w:cstheme="minorHAnsi"/>
          <w:sz w:val="24"/>
          <w:szCs w:val="24"/>
        </w:rPr>
        <w:t xml:space="preserve">Provides reasonable flexible work hours for staff to ensure up to 12 hours of support staff coverage </w:t>
      </w:r>
    </w:p>
    <w:p w:rsidRPr="00417C9F" w:rsidR="000E142D" w:rsidP="000E142D" w:rsidRDefault="000E142D" w14:paraId="7C49F924" w14:textId="77777777">
      <w:pPr>
        <w:jc w:val="both"/>
        <w:rPr>
          <w:rFonts w:cstheme="minorHAnsi"/>
          <w:sz w:val="24"/>
          <w:szCs w:val="24"/>
        </w:rPr>
      </w:pPr>
    </w:p>
    <w:p w:rsidRPr="0060344E" w:rsidR="006B58C7" w:rsidRDefault="006B58C7" w14:paraId="34069512" w14:textId="77777777">
      <w:pPr>
        <w:rPr>
          <w:rFonts w:ascii="Times New Roman" w:hAnsi="Times New Roman" w:cs="Times New Roman"/>
          <w:sz w:val="24"/>
          <w:szCs w:val="24"/>
        </w:rPr>
      </w:pPr>
    </w:p>
    <w:sectPr w:rsidRPr="0060344E" w:rsidR="006B58C7" w:rsidSect="00A35C89">
      <w:headerReference w:type="default" r:id="rId12"/>
      <w:foot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E142D" w:rsidP="000E142D" w:rsidRDefault="000E142D" w14:paraId="2F541BEC" w14:textId="77777777">
      <w:pPr>
        <w:spacing w:after="0" w:line="240" w:lineRule="auto"/>
      </w:pPr>
      <w:r>
        <w:separator/>
      </w:r>
    </w:p>
  </w:endnote>
  <w:endnote w:type="continuationSeparator" w:id="0">
    <w:p w:rsidR="000E142D" w:rsidP="000E142D" w:rsidRDefault="000E142D" w14:paraId="44BC08A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7142227"/>
      <w:docPartObj>
        <w:docPartGallery w:val="Page Numbers (Bottom of Page)"/>
        <w:docPartUnique/>
      </w:docPartObj>
    </w:sdtPr>
    <w:sdtEndPr>
      <w:rPr>
        <w:noProof/>
      </w:rPr>
    </w:sdtEndPr>
    <w:sdtContent>
      <w:p w:rsidR="00D37D49" w:rsidRDefault="000E142D" w14:paraId="38ED8439"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A0612" w:rsidRDefault="000E142D" w14:paraId="0AF6599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E142D" w:rsidP="000E142D" w:rsidRDefault="000E142D" w14:paraId="432EFA43" w14:textId="77777777">
      <w:pPr>
        <w:spacing w:after="0" w:line="240" w:lineRule="auto"/>
      </w:pPr>
      <w:r>
        <w:separator/>
      </w:r>
    </w:p>
  </w:footnote>
  <w:footnote w:type="continuationSeparator" w:id="0">
    <w:p w:rsidR="000E142D" w:rsidP="000E142D" w:rsidRDefault="000E142D" w14:paraId="54B09770" w14:textId="77777777">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E142D" w:rsidRDefault="000E142D" w14:paraId="1D56C20D" w14:textId="5A3D0079">
    <w:pPr>
      <w:pStyle w:val="Header"/>
    </w:pPr>
    <w:r w:rsidRPr="00351844">
      <w:rPr>
        <w:noProof/>
        <w:sz w:val="16"/>
        <w:szCs w:val="16"/>
      </w:rPr>
      <w:drawing>
        <wp:anchor distT="0" distB="0" distL="114300" distR="114300" simplePos="0" relativeHeight="251661312" behindDoc="0" locked="1" layoutInCell="1" allowOverlap="1" wp14:editId="566ED75C" wp14:anchorId="7147F8DF">
          <wp:simplePos x="0" y="0"/>
          <wp:positionH relativeFrom="page">
            <wp:align>left</wp:align>
          </wp:positionH>
          <wp:positionV relativeFrom="paragraph">
            <wp:posOffset>-498475</wp:posOffset>
          </wp:positionV>
          <wp:extent cx="7793990" cy="941705"/>
          <wp:effectExtent l="0" t="0" r="0" b="0"/>
          <wp:wrapSquare wrapText="bothSides"/>
          <wp:docPr id="2" name="Picture 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header.jpg"/>
                  <pic:cNvPicPr/>
                </pic:nvPicPr>
                <pic:blipFill>
                  <a:blip r:embed="rId1">
                    <a:extLst>
                      <a:ext uri="{28A0092B-C50C-407E-A947-70E740481C1C}">
                        <a14:useLocalDpi xmlns:a14="http://schemas.microsoft.com/office/drawing/2010/main" val="0"/>
                      </a:ext>
                    </a:extLst>
                  </a:blip>
                  <a:stretch>
                    <a:fillRect/>
                  </a:stretch>
                </pic:blipFill>
                <pic:spPr>
                  <a:xfrm>
                    <a:off x="0" y="0"/>
                    <a:ext cx="7793990" cy="94170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D506A" w:rsidP="00BD506A" w:rsidRDefault="000E142D" w14:paraId="3BBAB92D" w14:textId="77777777">
    <w:pPr>
      <w:pStyle w:val="Header"/>
      <w:jc w:val="right"/>
      <w:rPr>
        <w:rFonts w:cstheme="minorHAnsi"/>
        <w:i/>
      </w:rPr>
    </w:pPr>
  </w:p>
  <w:p w:rsidR="00A35C89" w:rsidRDefault="000E142D" w14:paraId="055EB42A" w14:textId="77777777">
    <w:pPr>
      <w:pStyle w:val="Header"/>
    </w:pPr>
    <w:r w:rsidRPr="00351844">
      <w:rPr>
        <w:noProof/>
        <w:sz w:val="16"/>
        <w:szCs w:val="16"/>
      </w:rPr>
      <w:drawing>
        <wp:anchor distT="0" distB="0" distL="114300" distR="114300" simplePos="0" relativeHeight="251659264" behindDoc="0" locked="1" layoutInCell="1" allowOverlap="1" wp14:editId="7DA95E57" wp14:anchorId="2603DFB1">
          <wp:simplePos x="0" y="0"/>
          <wp:positionH relativeFrom="page">
            <wp:align>left</wp:align>
          </wp:positionH>
          <wp:positionV relativeFrom="paragraph">
            <wp:posOffset>-657860</wp:posOffset>
          </wp:positionV>
          <wp:extent cx="7793990" cy="941705"/>
          <wp:effectExtent l="0" t="0" r="0" b="0"/>
          <wp:wrapSquare wrapText="bothSides"/>
          <wp:docPr id="1" name="Picture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header.jpg"/>
                  <pic:cNvPicPr/>
                </pic:nvPicPr>
                <pic:blipFill>
                  <a:blip r:embed="rId1">
                    <a:extLst>
                      <a:ext uri="{28A0092B-C50C-407E-A947-70E740481C1C}">
                        <a14:useLocalDpi xmlns:a14="http://schemas.microsoft.com/office/drawing/2010/main" val="0"/>
                      </a:ext>
                    </a:extLst>
                  </a:blip>
                  <a:stretch>
                    <a:fillRect/>
                  </a:stretch>
                </pic:blipFill>
                <pic:spPr>
                  <a:xfrm>
                    <a:off x="0" y="0"/>
                    <a:ext cx="7793990" cy="9417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B4235"/>
    <w:multiLevelType w:val="hybridMultilevel"/>
    <w:tmpl w:val="77AEBD6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616548"/>
    <w:multiLevelType w:val="hybridMultilevel"/>
    <w:tmpl w:val="74CA016E"/>
    <w:lvl w:ilvl="0" w:tplc="47EC878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900ACD"/>
    <w:multiLevelType w:val="hybridMultilevel"/>
    <w:tmpl w:val="F8F8F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F072D7"/>
    <w:multiLevelType w:val="hybridMultilevel"/>
    <w:tmpl w:val="EBFCAB72"/>
    <w:lvl w:ilvl="0" w:tplc="62D0514A">
      <w:start w:val="50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EA05D0"/>
    <w:multiLevelType w:val="hybridMultilevel"/>
    <w:tmpl w:val="E294F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1460B0"/>
    <w:multiLevelType w:val="hybridMultilevel"/>
    <w:tmpl w:val="21A28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307F40"/>
    <w:multiLevelType w:val="multilevel"/>
    <w:tmpl w:val="1F7C3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1"/>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42D"/>
    <w:rsid w:val="000E142D"/>
    <w:rsid w:val="0060344E"/>
    <w:rsid w:val="006B58C7"/>
    <w:rsid w:val="00814D01"/>
    <w:rsid w:val="00917FD8"/>
    <w:rsid w:val="00E43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4E30B"/>
  <w15:chartTrackingRefBased/>
  <w15:docId w15:val="{74542530-65CC-40CD-BB26-2AB8450FB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E142D"/>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E142D"/>
    <w:pPr>
      <w:tabs>
        <w:tab w:val="center" w:pos="4680"/>
        <w:tab w:val="right" w:pos="9360"/>
      </w:tabs>
      <w:spacing w:after="0" w:line="240" w:lineRule="auto"/>
    </w:pPr>
  </w:style>
  <w:style w:type="character" w:styleId="HeaderChar" w:customStyle="1">
    <w:name w:val="Header Char"/>
    <w:basedOn w:val="DefaultParagraphFont"/>
    <w:link w:val="Header"/>
    <w:uiPriority w:val="99"/>
    <w:rsid w:val="000E142D"/>
  </w:style>
  <w:style w:type="paragraph" w:styleId="Footer">
    <w:name w:val="footer"/>
    <w:basedOn w:val="Normal"/>
    <w:link w:val="FooterChar"/>
    <w:uiPriority w:val="99"/>
    <w:unhideWhenUsed/>
    <w:rsid w:val="000E142D"/>
    <w:pPr>
      <w:tabs>
        <w:tab w:val="center" w:pos="4680"/>
        <w:tab w:val="right" w:pos="9360"/>
      </w:tabs>
      <w:spacing w:after="0" w:line="240" w:lineRule="auto"/>
    </w:pPr>
  </w:style>
  <w:style w:type="character" w:styleId="FooterChar" w:customStyle="1">
    <w:name w:val="Footer Char"/>
    <w:basedOn w:val="DefaultParagraphFont"/>
    <w:link w:val="Footer"/>
    <w:uiPriority w:val="99"/>
    <w:rsid w:val="000E142D"/>
  </w:style>
  <w:style w:type="paragraph" w:styleId="ListParagraph">
    <w:name w:val="List Paragraph"/>
    <w:basedOn w:val="Normal"/>
    <w:uiPriority w:val="34"/>
    <w:qFormat/>
    <w:rsid w:val="000E14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cdc.bi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rewdc.org/home"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badc.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wbadc.org/foundation" TargetMode="External"/><Relationship Id="rId4" Type="http://schemas.openxmlformats.org/officeDocument/2006/relationships/webSettings" Target="webSettings.xml"/><Relationship Id="rId9" Type="http://schemas.openxmlformats.org/officeDocument/2006/relationships/hyperlink" Target="http://www.vwaa.org/"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1900-01-01T05:00:00.0000000Z</dcterms:created>
  <dcterms:modified xsi:type="dcterms:W3CDTF">1900-01-01T05:00:00.0000000Z</dcterms:modified>
</coreProperties>
</file>