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4CBC" w14:textId="77777777" w:rsidR="003E117D" w:rsidRPr="003E117D" w:rsidRDefault="003E117D" w:rsidP="003E117D">
      <w:pPr>
        <w:pStyle w:val="paragraph"/>
        <w:spacing w:before="0" w:beforeAutospacing="0" w:after="0" w:afterAutospacing="0"/>
        <w:jc w:val="center"/>
        <w:textAlignment w:val="baseline"/>
        <w:rPr>
          <w:rFonts w:asciiTheme="majorHAnsi" w:hAnsiTheme="majorHAnsi" w:cstheme="majorHAnsi"/>
        </w:rPr>
      </w:pPr>
      <w:r w:rsidRPr="003E117D">
        <w:rPr>
          <w:rStyle w:val="normaltextrun"/>
          <w:rFonts w:asciiTheme="majorHAnsi" w:hAnsiTheme="majorHAnsi" w:cstheme="majorHAnsi"/>
          <w:b/>
          <w:bCs/>
        </w:rPr>
        <w:t xml:space="preserve">CORPORATE TRANSPARENCY ACT </w:t>
      </w:r>
      <w:r w:rsidRPr="003E117D">
        <w:rPr>
          <w:rStyle w:val="eop"/>
          <w:rFonts w:asciiTheme="majorHAnsi" w:hAnsiTheme="majorHAnsi" w:cstheme="majorHAnsi"/>
        </w:rPr>
        <w:t> </w:t>
      </w:r>
    </w:p>
    <w:p w14:paraId="5D0F9A91" w14:textId="77777777" w:rsidR="003E117D" w:rsidRPr="003E117D" w:rsidRDefault="003E117D" w:rsidP="003E117D">
      <w:pPr>
        <w:pStyle w:val="paragraph"/>
        <w:spacing w:before="0" w:beforeAutospacing="0" w:after="0" w:afterAutospacing="0"/>
        <w:jc w:val="center"/>
        <w:textAlignment w:val="baseline"/>
        <w:rPr>
          <w:rFonts w:asciiTheme="majorHAnsi" w:hAnsiTheme="majorHAnsi" w:cstheme="majorHAnsi"/>
        </w:rPr>
      </w:pPr>
      <w:r w:rsidRPr="003E117D">
        <w:rPr>
          <w:rStyle w:val="eop"/>
          <w:rFonts w:asciiTheme="majorHAnsi" w:hAnsiTheme="majorHAnsi" w:cstheme="majorHAnsi"/>
        </w:rPr>
        <w:t> </w:t>
      </w:r>
    </w:p>
    <w:p w14:paraId="3AA99773" w14:textId="04B25635"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 xml:space="preserve">Beginning January 1, 2024, certain entities organized or registered to conduct business in the U.S. will be required to disclose identifying information about those who ultimately own or control the entity. Unless subject to an exemption, every new LLC, LLP, corporation, </w:t>
      </w:r>
      <w:r w:rsidR="00C073D7">
        <w:rPr>
          <w:rStyle w:val="normaltextrun"/>
          <w:rFonts w:asciiTheme="majorHAnsi" w:hAnsiTheme="majorHAnsi" w:cstheme="majorHAnsi"/>
        </w:rPr>
        <w:t>and</w:t>
      </w:r>
      <w:r w:rsidRPr="003E117D">
        <w:rPr>
          <w:rStyle w:val="normaltextrun"/>
          <w:rFonts w:asciiTheme="majorHAnsi" w:hAnsiTheme="majorHAnsi" w:cstheme="majorHAnsi"/>
        </w:rPr>
        <w:t xml:space="preserve"> other business entity will have certain filing obligations with the Financial Crimes Enforcement Network (“FinCEN”), a bureau of the U.S. Department of the Treasury. FinCEN has estimated that there are more than 32 million preexisting entities (created prior to 2024) and approximately 5 million new entities per year (formed Jan. 1, 2024, and thereafter) that will</w:t>
      </w:r>
      <w:r w:rsidR="00EE18F3">
        <w:rPr>
          <w:rStyle w:val="normaltextrun"/>
          <w:rFonts w:asciiTheme="majorHAnsi" w:hAnsiTheme="majorHAnsi" w:cstheme="majorHAnsi"/>
        </w:rPr>
        <w:t xml:space="preserve"> have</w:t>
      </w:r>
      <w:r w:rsidRPr="003E117D">
        <w:rPr>
          <w:rStyle w:val="normaltextrun"/>
          <w:rFonts w:asciiTheme="majorHAnsi" w:hAnsiTheme="majorHAnsi" w:cstheme="majorHAnsi"/>
        </w:rPr>
        <w:t xml:space="preserve"> filing obligations pursuant to the Corporate Transparency Act (“CTA”).</w:t>
      </w:r>
      <w:r w:rsidRPr="003E117D">
        <w:rPr>
          <w:rStyle w:val="eop"/>
          <w:rFonts w:asciiTheme="majorHAnsi" w:hAnsiTheme="majorHAnsi" w:cstheme="majorHAnsi"/>
        </w:rPr>
        <w:t> </w:t>
      </w:r>
    </w:p>
    <w:p w14:paraId="1723EA66"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64BECA00" w14:textId="392C0476" w:rsidR="003E117D" w:rsidRDefault="003E117D" w:rsidP="003E117D">
      <w:pPr>
        <w:pStyle w:val="paragraph"/>
        <w:spacing w:before="0" w:beforeAutospacing="0" w:after="0" w:afterAutospacing="0"/>
        <w:textAlignment w:val="baseline"/>
        <w:rPr>
          <w:rFonts w:asciiTheme="majorHAnsi" w:hAnsiTheme="majorHAnsi" w:cstheme="majorHAnsi"/>
          <w:b/>
          <w:bCs/>
        </w:rPr>
      </w:pPr>
      <w:r w:rsidRPr="003E117D">
        <w:rPr>
          <w:rStyle w:val="normaltextrun"/>
          <w:rFonts w:asciiTheme="majorHAnsi" w:hAnsiTheme="majorHAnsi" w:cstheme="majorHAnsi"/>
          <w:b/>
          <w:bCs/>
        </w:rPr>
        <w:t>BACKGROUND</w:t>
      </w:r>
      <w:r w:rsidRPr="003E117D">
        <w:rPr>
          <w:rStyle w:val="eop"/>
          <w:rFonts w:asciiTheme="majorHAnsi" w:hAnsiTheme="majorHAnsi" w:cstheme="majorHAnsi"/>
          <w:b/>
          <w:bCs/>
        </w:rPr>
        <w:t> </w:t>
      </w:r>
    </w:p>
    <w:p w14:paraId="68B3E973"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b/>
          <w:bCs/>
        </w:rPr>
      </w:pPr>
    </w:p>
    <w:p w14:paraId="06585DDC" w14:textId="068196E8" w:rsidR="003E117D" w:rsidRDefault="003E117D" w:rsidP="003E117D">
      <w:pPr>
        <w:pStyle w:val="paragraph"/>
        <w:spacing w:before="0" w:beforeAutospacing="0" w:after="0" w:afterAutospacing="0"/>
        <w:ind w:firstLine="720"/>
        <w:textAlignment w:val="baseline"/>
        <w:rPr>
          <w:rStyle w:val="eop"/>
          <w:rFonts w:asciiTheme="majorHAnsi" w:hAnsiTheme="majorHAnsi" w:cstheme="majorHAnsi"/>
        </w:rPr>
      </w:pPr>
      <w:r w:rsidRPr="003E117D">
        <w:rPr>
          <w:rStyle w:val="normaltextrun"/>
          <w:rFonts w:asciiTheme="majorHAnsi" w:hAnsiTheme="majorHAnsi" w:cstheme="majorHAnsi"/>
        </w:rPr>
        <w:t xml:space="preserve">The Anti-Money Laundering Act of 2020, which is part of the National Defense Authorization Act for Fiscal Year 2021 (“NDAA”) and includes the CTA, became law on January 1, 2021. </w:t>
      </w:r>
      <w:r w:rsidR="00C073D7">
        <w:rPr>
          <w:rStyle w:val="normaltextrun"/>
          <w:rFonts w:asciiTheme="majorHAnsi" w:hAnsiTheme="majorHAnsi" w:cstheme="majorHAnsi"/>
        </w:rPr>
        <w:t xml:space="preserve">The </w:t>
      </w:r>
      <w:r w:rsidRPr="003E117D">
        <w:rPr>
          <w:rStyle w:val="normaltextrun"/>
          <w:rFonts w:asciiTheme="majorHAnsi" w:hAnsiTheme="majorHAnsi" w:cstheme="majorHAnsi"/>
        </w:rPr>
        <w:t xml:space="preserve">CTA requires </w:t>
      </w:r>
      <w:r w:rsidR="00C073D7">
        <w:rPr>
          <w:rStyle w:val="normaltextrun"/>
          <w:rFonts w:asciiTheme="majorHAnsi" w:hAnsiTheme="majorHAnsi" w:cstheme="majorHAnsi"/>
        </w:rPr>
        <w:t xml:space="preserve">non-exempt </w:t>
      </w:r>
      <w:r w:rsidRPr="003E117D">
        <w:rPr>
          <w:rStyle w:val="normaltextrun"/>
          <w:rFonts w:asciiTheme="majorHAnsi" w:hAnsiTheme="majorHAnsi" w:cstheme="majorHAnsi"/>
        </w:rPr>
        <w:t>business entities (defined as “Reporting Compan</w:t>
      </w:r>
      <w:r w:rsidR="00C073D7">
        <w:rPr>
          <w:rStyle w:val="normaltextrun"/>
          <w:rFonts w:asciiTheme="majorHAnsi" w:hAnsiTheme="majorHAnsi" w:cstheme="majorHAnsi"/>
        </w:rPr>
        <w:t>ies</w:t>
      </w:r>
      <w:r w:rsidRPr="003E117D">
        <w:rPr>
          <w:rStyle w:val="normaltextrun"/>
          <w:rFonts w:asciiTheme="majorHAnsi" w:hAnsiTheme="majorHAnsi" w:cstheme="majorHAnsi"/>
        </w:rPr>
        <w:t>”), to file information on their “</w:t>
      </w:r>
      <w:r w:rsidR="00C10117">
        <w:rPr>
          <w:rStyle w:val="normaltextrun"/>
          <w:rFonts w:asciiTheme="majorHAnsi" w:hAnsiTheme="majorHAnsi" w:cstheme="majorHAnsi"/>
        </w:rPr>
        <w:t>Beneficial Owners</w:t>
      </w:r>
      <w:r w:rsidRPr="003E117D">
        <w:rPr>
          <w:rStyle w:val="normaltextrun"/>
          <w:rFonts w:asciiTheme="majorHAnsi" w:hAnsiTheme="majorHAnsi" w:cstheme="majorHAnsi"/>
        </w:rPr>
        <w:t xml:space="preserve">” with the FinCEN. </w:t>
      </w:r>
      <w:r w:rsidRPr="003E117D">
        <w:rPr>
          <w:rStyle w:val="eop"/>
          <w:rFonts w:asciiTheme="majorHAnsi" w:hAnsiTheme="majorHAnsi" w:cstheme="majorHAnsi"/>
        </w:rPr>
        <w:t> </w:t>
      </w:r>
    </w:p>
    <w:p w14:paraId="58A322F5" w14:textId="77777777" w:rsidR="00EE18F3" w:rsidRPr="003E117D" w:rsidRDefault="00EE18F3" w:rsidP="003E117D">
      <w:pPr>
        <w:pStyle w:val="paragraph"/>
        <w:spacing w:before="0" w:beforeAutospacing="0" w:after="0" w:afterAutospacing="0"/>
        <w:ind w:firstLine="720"/>
        <w:textAlignment w:val="baseline"/>
        <w:rPr>
          <w:rFonts w:asciiTheme="majorHAnsi" w:hAnsiTheme="majorHAnsi" w:cstheme="majorHAnsi"/>
        </w:rPr>
      </w:pPr>
    </w:p>
    <w:p w14:paraId="07157E11" w14:textId="3486FB4D"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 xml:space="preserve">Congress enacted the CTA to better enable critical national security, intelligence, and law enforcement efforts to counter money laundering, the financing of terrorism, and other illicit activity. When fully implemented in 2024, </w:t>
      </w:r>
      <w:r w:rsidR="00C073D7">
        <w:rPr>
          <w:rStyle w:val="normaltextrun"/>
          <w:rFonts w:asciiTheme="majorHAnsi" w:hAnsiTheme="majorHAnsi" w:cstheme="majorHAnsi"/>
        </w:rPr>
        <w:t xml:space="preserve">the </w:t>
      </w:r>
      <w:r w:rsidRPr="003E117D">
        <w:rPr>
          <w:rStyle w:val="normaltextrun"/>
          <w:rFonts w:asciiTheme="majorHAnsi" w:hAnsiTheme="majorHAnsi" w:cstheme="majorHAnsi"/>
        </w:rPr>
        <w:t xml:space="preserve">CTA will create a database of </w:t>
      </w:r>
      <w:r w:rsidR="00C10117">
        <w:rPr>
          <w:rStyle w:val="normaltextrun"/>
          <w:rFonts w:asciiTheme="majorHAnsi" w:hAnsiTheme="majorHAnsi" w:cstheme="majorHAnsi"/>
        </w:rPr>
        <w:t>Beneficial Owners</w:t>
      </w:r>
      <w:r w:rsidRPr="003E117D">
        <w:rPr>
          <w:rStyle w:val="normaltextrun"/>
          <w:rFonts w:asciiTheme="majorHAnsi" w:hAnsiTheme="majorHAnsi" w:cstheme="majorHAnsi"/>
        </w:rPr>
        <w:t xml:space="preserve">hip </w:t>
      </w:r>
      <w:r w:rsidR="00EE18F3">
        <w:rPr>
          <w:rStyle w:val="normaltextrun"/>
          <w:rFonts w:asciiTheme="majorHAnsi" w:hAnsiTheme="majorHAnsi" w:cstheme="majorHAnsi"/>
        </w:rPr>
        <w:t>I</w:t>
      </w:r>
      <w:r w:rsidRPr="003E117D">
        <w:rPr>
          <w:rStyle w:val="normaltextrun"/>
          <w:rFonts w:asciiTheme="majorHAnsi" w:hAnsiTheme="majorHAnsi" w:cstheme="majorHAnsi"/>
        </w:rPr>
        <w:t xml:space="preserve">nformation (“BOI”) within FinCEN. Prior to the implementation of the CTA, the burden of collecting BOI fell on financial institutions, which are required to identify and verify </w:t>
      </w:r>
      <w:r w:rsidR="00C10117">
        <w:rPr>
          <w:rStyle w:val="normaltextrun"/>
          <w:rFonts w:asciiTheme="majorHAnsi" w:hAnsiTheme="majorHAnsi" w:cstheme="majorHAnsi"/>
        </w:rPr>
        <w:t>Beneficial Owners</w:t>
      </w:r>
      <w:r w:rsidRPr="003E117D">
        <w:rPr>
          <w:rStyle w:val="normaltextrun"/>
          <w:rFonts w:asciiTheme="majorHAnsi" w:hAnsiTheme="majorHAnsi" w:cstheme="majorHAnsi"/>
        </w:rPr>
        <w:t xml:space="preserve"> through the Bank Secrecy Act’s customer due diligence requirements. Under the Customer Due Diligence (“CDD”) Rule, FinCEN required certain financial institutions to collect and verify BOI of certain legal entities’ customers.  The CTA will shift the collection burden from financial institutions to the </w:t>
      </w:r>
      <w:r w:rsidR="00C10117">
        <w:rPr>
          <w:rStyle w:val="normaltextrun"/>
          <w:rFonts w:asciiTheme="majorHAnsi" w:hAnsiTheme="majorHAnsi" w:cstheme="majorHAnsi"/>
        </w:rPr>
        <w:t>reporting companies</w:t>
      </w:r>
      <w:r w:rsidRPr="003E117D">
        <w:rPr>
          <w:rStyle w:val="normaltextrun"/>
          <w:rFonts w:asciiTheme="majorHAnsi" w:hAnsiTheme="majorHAnsi" w:cstheme="majorHAnsi"/>
        </w:rPr>
        <w:t xml:space="preserve"> and will impose stringent penalties for willful non-compliance and unauthorized disclosures.</w:t>
      </w:r>
      <w:r w:rsidRPr="003E117D">
        <w:rPr>
          <w:rStyle w:val="eop"/>
          <w:rFonts w:asciiTheme="majorHAnsi" w:hAnsiTheme="majorHAnsi" w:cstheme="majorHAnsi"/>
        </w:rPr>
        <w:t> </w:t>
      </w:r>
    </w:p>
    <w:p w14:paraId="5E920E0B"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24319ADB" w14:textId="03224164"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 xml:space="preserve">BOI reporting </w:t>
      </w:r>
      <w:r w:rsidR="00C073D7">
        <w:rPr>
          <w:rStyle w:val="normaltextrun"/>
          <w:rFonts w:asciiTheme="majorHAnsi" w:hAnsiTheme="majorHAnsi" w:cstheme="majorHAnsi"/>
        </w:rPr>
        <w:t>is expected to</w:t>
      </w:r>
      <w:r w:rsidR="00C073D7" w:rsidRPr="003E117D">
        <w:rPr>
          <w:rStyle w:val="normaltextrun"/>
          <w:rFonts w:asciiTheme="majorHAnsi" w:hAnsiTheme="majorHAnsi" w:cstheme="majorHAnsi"/>
        </w:rPr>
        <w:t xml:space="preserve"> </w:t>
      </w:r>
      <w:r w:rsidRPr="003E117D">
        <w:rPr>
          <w:rStyle w:val="normaltextrun"/>
          <w:rFonts w:asciiTheme="majorHAnsi" w:hAnsiTheme="majorHAnsi" w:cstheme="majorHAnsi"/>
        </w:rPr>
        <w:t xml:space="preserve">significantly aid the efforts of U.S. government departments and agencies, law enforcement, tax authorities, and financial institutions to protect the </w:t>
      </w:r>
      <w:r w:rsidR="00C073D7">
        <w:rPr>
          <w:rStyle w:val="normaltextrun"/>
          <w:rFonts w:asciiTheme="majorHAnsi" w:hAnsiTheme="majorHAnsi" w:cstheme="majorHAnsi"/>
        </w:rPr>
        <w:t>country’s</w:t>
      </w:r>
      <w:r w:rsidRPr="003E117D">
        <w:rPr>
          <w:rStyle w:val="normaltextrun"/>
          <w:rFonts w:asciiTheme="majorHAnsi" w:hAnsiTheme="majorHAnsi" w:cstheme="majorHAnsi"/>
        </w:rPr>
        <w:t xml:space="preserve"> financial system from illicit use that undermines national security and foreign policy interests. Consistent with the CTA’s goals, the BOI reporting requirement effectively bans anonymous shell companies.</w:t>
      </w:r>
      <w:r w:rsidRPr="003E117D">
        <w:rPr>
          <w:rStyle w:val="eop"/>
          <w:rFonts w:asciiTheme="majorHAnsi" w:hAnsiTheme="majorHAnsi" w:cstheme="majorHAnsi"/>
        </w:rPr>
        <w:t> </w:t>
      </w:r>
    </w:p>
    <w:p w14:paraId="698456DA" w14:textId="1852E360" w:rsidR="003E117D" w:rsidRPr="003E117D" w:rsidRDefault="003E117D" w:rsidP="00EE18F3">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1504D47F"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normaltextrun"/>
          <w:rFonts w:asciiTheme="majorHAnsi" w:hAnsiTheme="majorHAnsi" w:cstheme="majorHAnsi"/>
          <w:b/>
          <w:bCs/>
        </w:rPr>
        <w:t>WHO MUST REPORT? </w:t>
      </w:r>
      <w:r w:rsidRPr="003E117D">
        <w:rPr>
          <w:rStyle w:val="eop"/>
          <w:rFonts w:asciiTheme="majorHAnsi" w:hAnsiTheme="majorHAnsi" w:cstheme="majorHAnsi"/>
        </w:rPr>
        <w:t> </w:t>
      </w:r>
    </w:p>
    <w:p w14:paraId="7558C3CE"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695CB476" w14:textId="65D1261C"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On September 29, 2022, FinCEN issued its Final Rule requiring certain domestic and foreign entities to submit a BOI report to FinCEN.</w:t>
      </w:r>
    </w:p>
    <w:p w14:paraId="2484122C"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79B9ECC2" w14:textId="23AFE627" w:rsidR="003E117D" w:rsidRDefault="003E117D" w:rsidP="003E117D">
      <w:pPr>
        <w:pStyle w:val="paragraph"/>
        <w:numPr>
          <w:ilvl w:val="0"/>
          <w:numId w:val="1"/>
        </w:numPr>
        <w:spacing w:before="0" w:beforeAutospacing="0" w:after="0" w:afterAutospacing="0"/>
        <w:ind w:left="1080" w:firstLine="0"/>
        <w:textAlignment w:val="baseline"/>
        <w:rPr>
          <w:rStyle w:val="eop"/>
          <w:rFonts w:asciiTheme="majorHAnsi" w:hAnsiTheme="majorHAnsi" w:cstheme="majorHAnsi"/>
        </w:rPr>
      </w:pPr>
      <w:r w:rsidRPr="003E117D">
        <w:rPr>
          <w:rStyle w:val="normaltextrun"/>
          <w:rFonts w:asciiTheme="majorHAnsi" w:hAnsiTheme="majorHAnsi" w:cstheme="majorHAnsi"/>
          <w:b/>
          <w:bCs/>
          <w:i/>
          <w:iCs/>
        </w:rPr>
        <w:t>Reporting Compan</w:t>
      </w:r>
      <w:r w:rsidR="00C073D7">
        <w:rPr>
          <w:rStyle w:val="normaltextrun"/>
          <w:rFonts w:asciiTheme="majorHAnsi" w:hAnsiTheme="majorHAnsi" w:cstheme="majorHAnsi"/>
          <w:b/>
          <w:bCs/>
          <w:i/>
          <w:iCs/>
        </w:rPr>
        <w:t>ies</w:t>
      </w:r>
      <w:r w:rsidRPr="003E117D">
        <w:rPr>
          <w:rStyle w:val="eop"/>
          <w:rFonts w:asciiTheme="majorHAnsi" w:hAnsiTheme="majorHAnsi" w:cstheme="majorHAnsi"/>
        </w:rPr>
        <w:t> </w:t>
      </w:r>
    </w:p>
    <w:p w14:paraId="6CBCD951" w14:textId="4D0354A0"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A Reporting Company is a corporation, LLC</w:t>
      </w:r>
      <w:r w:rsidR="00C073D7">
        <w:rPr>
          <w:rStyle w:val="normaltextrun"/>
          <w:rFonts w:asciiTheme="majorHAnsi" w:hAnsiTheme="majorHAnsi" w:cstheme="majorHAnsi"/>
        </w:rPr>
        <w:t>,</w:t>
      </w:r>
      <w:r w:rsidRPr="003E117D">
        <w:rPr>
          <w:rStyle w:val="normaltextrun"/>
          <w:rFonts w:asciiTheme="majorHAnsi" w:hAnsiTheme="majorHAnsi" w:cstheme="majorHAnsi"/>
        </w:rPr>
        <w:t xml:space="preserve"> or other </w:t>
      </w:r>
      <w:r w:rsidR="00C073D7">
        <w:rPr>
          <w:rStyle w:val="normaltextrun"/>
          <w:rFonts w:asciiTheme="majorHAnsi" w:hAnsiTheme="majorHAnsi" w:cstheme="majorHAnsi"/>
        </w:rPr>
        <w:t xml:space="preserve">business </w:t>
      </w:r>
      <w:r w:rsidRPr="003E117D">
        <w:rPr>
          <w:rStyle w:val="normaltextrun"/>
          <w:rFonts w:asciiTheme="majorHAnsi" w:hAnsiTheme="majorHAnsi" w:cstheme="majorHAnsi"/>
        </w:rPr>
        <w:t xml:space="preserve">entity that is created by the filing of a document with a </w:t>
      </w:r>
      <w:r w:rsidR="00C073D7">
        <w:rPr>
          <w:rStyle w:val="normaltextrun"/>
          <w:rFonts w:asciiTheme="majorHAnsi" w:hAnsiTheme="majorHAnsi" w:cstheme="majorHAnsi"/>
        </w:rPr>
        <w:t xml:space="preserve">state’s </w:t>
      </w:r>
      <w:r w:rsidRPr="003E117D">
        <w:rPr>
          <w:rStyle w:val="normaltextrun"/>
          <w:rFonts w:asciiTheme="majorHAnsi" w:hAnsiTheme="majorHAnsi" w:cstheme="majorHAnsi"/>
        </w:rPr>
        <w:t xml:space="preserve">secretary of state or similar office (domestic </w:t>
      </w:r>
      <w:r w:rsidR="00C10117">
        <w:rPr>
          <w:rStyle w:val="normaltextrun"/>
          <w:rFonts w:asciiTheme="majorHAnsi" w:hAnsiTheme="majorHAnsi" w:cstheme="majorHAnsi"/>
        </w:rPr>
        <w:t>reporting companies</w:t>
      </w:r>
      <w:proofErr w:type="gramStart"/>
      <w:r w:rsidRPr="003E117D">
        <w:rPr>
          <w:rStyle w:val="normaltextrun"/>
          <w:rFonts w:asciiTheme="majorHAnsi" w:hAnsiTheme="majorHAnsi" w:cstheme="majorHAnsi"/>
        </w:rPr>
        <w:t>), or</w:t>
      </w:r>
      <w:proofErr w:type="gramEnd"/>
      <w:r w:rsidRPr="003E117D">
        <w:rPr>
          <w:rStyle w:val="normaltextrun"/>
          <w:rFonts w:asciiTheme="majorHAnsi" w:hAnsiTheme="majorHAnsi" w:cstheme="majorHAnsi"/>
        </w:rPr>
        <w:t xml:space="preserve"> formed under the law of a foreign country and registered to do business in the </w:t>
      </w:r>
      <w:r w:rsidRPr="003E117D">
        <w:rPr>
          <w:rStyle w:val="normaltextrun"/>
          <w:rFonts w:asciiTheme="majorHAnsi" w:hAnsiTheme="majorHAnsi" w:cstheme="majorHAnsi"/>
        </w:rPr>
        <w:lastRenderedPageBreak/>
        <w:t xml:space="preserve">United States by the filing of a document with a </w:t>
      </w:r>
      <w:r w:rsidR="00C073D7">
        <w:rPr>
          <w:rStyle w:val="normaltextrun"/>
          <w:rFonts w:asciiTheme="majorHAnsi" w:hAnsiTheme="majorHAnsi" w:cstheme="majorHAnsi"/>
        </w:rPr>
        <w:t xml:space="preserve">state’s </w:t>
      </w:r>
      <w:r w:rsidRPr="003E117D">
        <w:rPr>
          <w:rStyle w:val="normaltextrun"/>
          <w:rFonts w:asciiTheme="majorHAnsi" w:hAnsiTheme="majorHAnsi" w:cstheme="majorHAnsi"/>
        </w:rPr>
        <w:t xml:space="preserve">secretary of state or similar office (foreign </w:t>
      </w:r>
      <w:r w:rsidR="00C10117">
        <w:rPr>
          <w:rStyle w:val="normaltextrun"/>
          <w:rFonts w:asciiTheme="majorHAnsi" w:hAnsiTheme="majorHAnsi" w:cstheme="majorHAnsi"/>
        </w:rPr>
        <w:t>reporting companies</w:t>
      </w:r>
      <w:r w:rsidRPr="003E117D">
        <w:rPr>
          <w:rStyle w:val="normaltextrun"/>
          <w:rFonts w:asciiTheme="majorHAnsi" w:hAnsiTheme="majorHAnsi" w:cstheme="majorHAnsi"/>
        </w:rPr>
        <w:t>).</w:t>
      </w:r>
      <w:r w:rsidRPr="003E117D">
        <w:rPr>
          <w:rStyle w:val="eop"/>
          <w:rFonts w:asciiTheme="majorHAnsi" w:hAnsiTheme="majorHAnsi" w:cstheme="majorHAnsi"/>
        </w:rPr>
        <w:t> </w:t>
      </w:r>
    </w:p>
    <w:p w14:paraId="23E9E898"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5F8CE5E9" w14:textId="40E5F528" w:rsidR="003E117D" w:rsidRPr="003E117D" w:rsidRDefault="00C073D7" w:rsidP="003E117D">
      <w:pPr>
        <w:pStyle w:val="paragraph"/>
        <w:spacing w:before="0" w:beforeAutospacing="0" w:after="0" w:afterAutospacing="0"/>
        <w:ind w:firstLine="720"/>
        <w:textAlignment w:val="baseline"/>
        <w:rPr>
          <w:rFonts w:asciiTheme="majorHAnsi" w:hAnsiTheme="majorHAnsi" w:cstheme="majorHAnsi"/>
        </w:rPr>
      </w:pPr>
      <w:r>
        <w:rPr>
          <w:rStyle w:val="normaltextrun"/>
          <w:rFonts w:asciiTheme="majorHAnsi" w:hAnsiTheme="majorHAnsi" w:cstheme="majorHAnsi"/>
        </w:rPr>
        <w:t>T</w:t>
      </w:r>
      <w:r w:rsidR="003E117D" w:rsidRPr="003E117D">
        <w:rPr>
          <w:rStyle w:val="normaltextrun"/>
          <w:rFonts w:asciiTheme="majorHAnsi" w:hAnsiTheme="majorHAnsi" w:cstheme="majorHAnsi"/>
        </w:rPr>
        <w:t xml:space="preserve">he </w:t>
      </w:r>
      <w:r>
        <w:rPr>
          <w:rStyle w:val="normaltextrun"/>
          <w:rFonts w:asciiTheme="majorHAnsi" w:hAnsiTheme="majorHAnsi" w:cstheme="majorHAnsi"/>
        </w:rPr>
        <w:t>term</w:t>
      </w:r>
      <w:r w:rsidR="003E117D" w:rsidRPr="003E117D">
        <w:rPr>
          <w:rStyle w:val="normaltextrun"/>
          <w:rFonts w:asciiTheme="majorHAnsi" w:hAnsiTheme="majorHAnsi" w:cstheme="majorHAnsi"/>
        </w:rPr>
        <w:t xml:space="preserve"> </w:t>
      </w:r>
      <w:r>
        <w:rPr>
          <w:rStyle w:val="normaltextrun"/>
          <w:rFonts w:asciiTheme="majorHAnsi" w:hAnsiTheme="majorHAnsi" w:cstheme="majorHAnsi"/>
        </w:rPr>
        <w:t>“</w:t>
      </w:r>
      <w:r w:rsidR="003E117D" w:rsidRPr="003E117D">
        <w:rPr>
          <w:rStyle w:val="normaltextrun"/>
          <w:rFonts w:asciiTheme="majorHAnsi" w:hAnsiTheme="majorHAnsi" w:cstheme="majorHAnsi"/>
        </w:rPr>
        <w:t>Reporting Company</w:t>
      </w:r>
      <w:r>
        <w:rPr>
          <w:rStyle w:val="normaltextrun"/>
          <w:rFonts w:asciiTheme="majorHAnsi" w:hAnsiTheme="majorHAnsi" w:cstheme="majorHAnsi"/>
        </w:rPr>
        <w:t>”</w:t>
      </w:r>
      <w:r w:rsidR="003E117D" w:rsidRPr="003E117D">
        <w:rPr>
          <w:rStyle w:val="normaltextrun"/>
          <w:rFonts w:asciiTheme="majorHAnsi" w:hAnsiTheme="majorHAnsi" w:cstheme="majorHAnsi"/>
        </w:rPr>
        <w:t xml:space="preserve"> </w:t>
      </w:r>
      <w:r>
        <w:rPr>
          <w:rStyle w:val="normaltextrun"/>
          <w:rFonts w:asciiTheme="majorHAnsi" w:hAnsiTheme="majorHAnsi" w:cstheme="majorHAnsi"/>
        </w:rPr>
        <w:t xml:space="preserve">also </w:t>
      </w:r>
      <w:r w:rsidR="003E117D" w:rsidRPr="003E117D">
        <w:rPr>
          <w:rStyle w:val="normaltextrun"/>
          <w:rFonts w:asciiTheme="majorHAnsi" w:hAnsiTheme="majorHAnsi" w:cstheme="majorHAnsi"/>
        </w:rPr>
        <w:t>encompasses LLP</w:t>
      </w:r>
      <w:r>
        <w:rPr>
          <w:rStyle w:val="normaltextrun"/>
          <w:rFonts w:asciiTheme="majorHAnsi" w:hAnsiTheme="majorHAnsi" w:cstheme="majorHAnsi"/>
        </w:rPr>
        <w:t>s</w:t>
      </w:r>
      <w:r w:rsidR="003E117D" w:rsidRPr="003E117D">
        <w:rPr>
          <w:rStyle w:val="normaltextrun"/>
          <w:rFonts w:asciiTheme="majorHAnsi" w:hAnsiTheme="majorHAnsi" w:cstheme="majorHAnsi"/>
        </w:rPr>
        <w:t>, LLLP</w:t>
      </w:r>
      <w:r>
        <w:rPr>
          <w:rStyle w:val="normaltextrun"/>
          <w:rFonts w:asciiTheme="majorHAnsi" w:hAnsiTheme="majorHAnsi" w:cstheme="majorHAnsi"/>
        </w:rPr>
        <w:t>s</w:t>
      </w:r>
      <w:r w:rsidR="003E117D" w:rsidRPr="003E117D">
        <w:rPr>
          <w:rStyle w:val="normaltextrun"/>
          <w:rFonts w:asciiTheme="majorHAnsi" w:hAnsiTheme="majorHAnsi" w:cstheme="majorHAnsi"/>
        </w:rPr>
        <w:t xml:space="preserve">, business trusts, and most limited partnerships because these entities are typically established by filing with a secretary of state or similar office. Certain types of trusts that are not created by the filing of a document with a secretary of state or similar office are not subject to the filing obligations. </w:t>
      </w:r>
      <w:r w:rsidR="003E117D" w:rsidRPr="003E117D">
        <w:rPr>
          <w:rStyle w:val="eop"/>
          <w:rFonts w:asciiTheme="majorHAnsi" w:hAnsiTheme="majorHAnsi" w:cstheme="majorHAnsi"/>
        </w:rPr>
        <w:t> </w:t>
      </w:r>
    </w:p>
    <w:p w14:paraId="3B5CFB8E" w14:textId="77777777" w:rsidR="003E117D" w:rsidRPr="003E117D" w:rsidRDefault="003E117D" w:rsidP="003E117D">
      <w:pPr>
        <w:pStyle w:val="paragraph"/>
        <w:spacing w:before="0" w:beforeAutospacing="0" w:after="0" w:afterAutospacing="0"/>
        <w:ind w:firstLine="360"/>
        <w:textAlignment w:val="baseline"/>
        <w:rPr>
          <w:rFonts w:asciiTheme="majorHAnsi" w:hAnsiTheme="majorHAnsi" w:cstheme="majorHAnsi"/>
        </w:rPr>
      </w:pPr>
      <w:r w:rsidRPr="003E117D">
        <w:rPr>
          <w:rStyle w:val="eop"/>
          <w:rFonts w:asciiTheme="majorHAnsi" w:hAnsiTheme="majorHAnsi" w:cstheme="majorHAnsi"/>
        </w:rPr>
        <w:t> </w:t>
      </w:r>
    </w:p>
    <w:p w14:paraId="792B3D3D" w14:textId="77777777" w:rsidR="003E117D" w:rsidRPr="003E117D" w:rsidRDefault="003E117D" w:rsidP="003E117D">
      <w:pPr>
        <w:pStyle w:val="paragraph"/>
        <w:numPr>
          <w:ilvl w:val="0"/>
          <w:numId w:val="2"/>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b/>
          <w:bCs/>
          <w:i/>
          <w:iCs/>
        </w:rPr>
        <w:t>Exemptions</w:t>
      </w:r>
      <w:r w:rsidRPr="003E117D">
        <w:rPr>
          <w:rStyle w:val="eop"/>
          <w:rFonts w:asciiTheme="majorHAnsi" w:hAnsiTheme="majorHAnsi" w:cstheme="majorHAnsi"/>
        </w:rPr>
        <w:t> </w:t>
      </w:r>
    </w:p>
    <w:p w14:paraId="24678190" w14:textId="50FAE210" w:rsidR="003E117D" w:rsidRPr="003E117D" w:rsidRDefault="003E117D" w:rsidP="00EE18F3">
      <w:pPr>
        <w:pStyle w:val="paragraph"/>
        <w:spacing w:before="0" w:beforeAutospacing="0" w:after="0" w:afterAutospacing="0"/>
        <w:ind w:firstLine="360"/>
        <w:textAlignment w:val="baseline"/>
        <w:rPr>
          <w:rFonts w:asciiTheme="majorHAnsi" w:hAnsiTheme="majorHAnsi" w:cstheme="majorHAnsi"/>
        </w:rPr>
      </w:pPr>
      <w:r w:rsidRPr="003E117D">
        <w:rPr>
          <w:rStyle w:val="eop"/>
          <w:rFonts w:asciiTheme="majorHAnsi" w:hAnsiTheme="majorHAnsi" w:cstheme="majorHAnsi"/>
        </w:rPr>
        <w:t> </w:t>
      </w:r>
      <w:r w:rsidR="00EE18F3">
        <w:rPr>
          <w:rStyle w:val="eop"/>
          <w:rFonts w:asciiTheme="majorHAnsi" w:hAnsiTheme="majorHAnsi" w:cstheme="majorHAnsi"/>
        </w:rPr>
        <w:tab/>
      </w:r>
      <w:r w:rsidRPr="003E117D">
        <w:rPr>
          <w:rStyle w:val="normaltextrun"/>
          <w:rFonts w:asciiTheme="majorHAnsi" w:hAnsiTheme="majorHAnsi" w:cstheme="majorHAnsi"/>
        </w:rPr>
        <w:t xml:space="preserve">The CTA exempts roughly 23 categories of entities from the definition of “Reporting Company” and empowers FinCEN to create new exemptions. Despite having that authority, FinCEN declined to adopt any additional exemptions at this time. </w:t>
      </w:r>
      <w:r w:rsidR="00C073D7">
        <w:rPr>
          <w:rStyle w:val="normaltextrun"/>
          <w:rFonts w:asciiTheme="majorHAnsi" w:hAnsiTheme="majorHAnsi" w:cstheme="majorHAnsi"/>
        </w:rPr>
        <w:t>A non-exhaustive list of exempt entities is below</w:t>
      </w:r>
      <w:r w:rsidRPr="003E117D">
        <w:rPr>
          <w:rStyle w:val="normaltextrun"/>
          <w:rFonts w:asciiTheme="majorHAnsi" w:hAnsiTheme="majorHAnsi" w:cstheme="majorHAnsi"/>
        </w:rPr>
        <w:t>:</w:t>
      </w:r>
      <w:r w:rsidRPr="003E117D">
        <w:rPr>
          <w:rStyle w:val="eop"/>
          <w:rFonts w:asciiTheme="majorHAnsi" w:hAnsiTheme="majorHAnsi" w:cstheme="majorHAnsi"/>
        </w:rPr>
        <w:t> </w:t>
      </w:r>
    </w:p>
    <w:p w14:paraId="31E24801" w14:textId="77777777" w:rsidR="003E117D" w:rsidRPr="003E117D" w:rsidRDefault="003E117D" w:rsidP="003E117D">
      <w:pPr>
        <w:pStyle w:val="paragraph"/>
        <w:numPr>
          <w:ilvl w:val="0"/>
          <w:numId w:val="3"/>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Large operating companies — companies with 20 or more full-time U.S. employees, more than $5 million in U.S.-sourced revenue, and a physical operating presence in the </w:t>
      </w:r>
      <w:proofErr w:type="gramStart"/>
      <w:r w:rsidRPr="003E117D">
        <w:rPr>
          <w:rStyle w:val="normaltextrun"/>
          <w:rFonts w:asciiTheme="majorHAnsi" w:hAnsiTheme="majorHAnsi" w:cstheme="majorHAnsi"/>
        </w:rPr>
        <w:t>U.S.;</w:t>
      </w:r>
      <w:proofErr w:type="gramEnd"/>
      <w:r w:rsidRPr="003E117D">
        <w:rPr>
          <w:rStyle w:val="normaltextrun"/>
          <w:rFonts w:asciiTheme="majorHAnsi" w:hAnsiTheme="majorHAnsi" w:cstheme="majorHAnsi"/>
        </w:rPr>
        <w:t> </w:t>
      </w:r>
      <w:r w:rsidRPr="003E117D">
        <w:rPr>
          <w:rStyle w:val="eop"/>
          <w:rFonts w:asciiTheme="majorHAnsi" w:hAnsiTheme="majorHAnsi" w:cstheme="majorHAnsi"/>
        </w:rPr>
        <w:t> </w:t>
      </w:r>
    </w:p>
    <w:p w14:paraId="50F12E45" w14:textId="43BF542F" w:rsidR="003E117D" w:rsidRPr="003E117D" w:rsidRDefault="003E117D" w:rsidP="003E117D">
      <w:pPr>
        <w:pStyle w:val="paragraph"/>
        <w:numPr>
          <w:ilvl w:val="0"/>
          <w:numId w:val="3"/>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Issuers registered with the </w:t>
      </w:r>
      <w:proofErr w:type="gramStart"/>
      <w:r w:rsidR="00883E36">
        <w:rPr>
          <w:rStyle w:val="normaltextrun"/>
          <w:rFonts w:asciiTheme="majorHAnsi" w:hAnsiTheme="majorHAnsi" w:cstheme="majorHAnsi"/>
        </w:rPr>
        <w:t>SEC</w:t>
      </w:r>
      <w:r w:rsidRPr="003E117D">
        <w:rPr>
          <w:rStyle w:val="normaltextrun"/>
          <w:rFonts w:asciiTheme="majorHAnsi" w:hAnsiTheme="majorHAnsi" w:cstheme="majorHAnsi"/>
        </w:rPr>
        <w:t>;</w:t>
      </w:r>
      <w:proofErr w:type="gramEnd"/>
      <w:r w:rsidRPr="003E117D">
        <w:rPr>
          <w:rStyle w:val="eop"/>
          <w:rFonts w:asciiTheme="majorHAnsi" w:hAnsiTheme="majorHAnsi" w:cstheme="majorHAnsi"/>
        </w:rPr>
        <w:t> </w:t>
      </w:r>
    </w:p>
    <w:p w14:paraId="4F88FA16" w14:textId="77777777" w:rsidR="003E117D" w:rsidRPr="003E117D" w:rsidRDefault="003E117D" w:rsidP="003E117D">
      <w:pPr>
        <w:pStyle w:val="paragraph"/>
        <w:numPr>
          <w:ilvl w:val="0"/>
          <w:numId w:val="4"/>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Banks, bank holding companies, savings and loan holding companies, credit unions, financial market utility entities, and money services businesses registered with </w:t>
      </w:r>
      <w:proofErr w:type="gramStart"/>
      <w:r w:rsidRPr="003E117D">
        <w:rPr>
          <w:rStyle w:val="normaltextrun"/>
          <w:rFonts w:asciiTheme="majorHAnsi" w:hAnsiTheme="majorHAnsi" w:cstheme="majorHAnsi"/>
        </w:rPr>
        <w:t>FinCEN;</w:t>
      </w:r>
      <w:proofErr w:type="gramEnd"/>
      <w:r w:rsidRPr="003E117D">
        <w:rPr>
          <w:rStyle w:val="eop"/>
          <w:rFonts w:asciiTheme="majorHAnsi" w:hAnsiTheme="majorHAnsi" w:cstheme="majorHAnsi"/>
        </w:rPr>
        <w:t> </w:t>
      </w:r>
    </w:p>
    <w:p w14:paraId="54EF02D8" w14:textId="00C709FB" w:rsidR="003E117D" w:rsidRPr="003E117D" w:rsidRDefault="003E117D" w:rsidP="003E117D">
      <w:pPr>
        <w:pStyle w:val="paragraph"/>
        <w:numPr>
          <w:ilvl w:val="0"/>
          <w:numId w:val="4"/>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Registered Commodity Exchange Act entities, registered investment companies  </w:t>
      </w:r>
      <w:r w:rsidR="00883E36">
        <w:rPr>
          <w:rStyle w:val="normaltextrun"/>
          <w:rFonts w:asciiTheme="majorHAnsi" w:hAnsiTheme="majorHAnsi" w:cstheme="majorHAnsi"/>
        </w:rPr>
        <w:t>and</w:t>
      </w:r>
      <w:r w:rsidR="00883E36" w:rsidRPr="003E117D">
        <w:rPr>
          <w:rStyle w:val="normaltextrun"/>
          <w:rFonts w:asciiTheme="majorHAnsi" w:hAnsiTheme="majorHAnsi" w:cstheme="majorHAnsi"/>
        </w:rPr>
        <w:t xml:space="preserve"> </w:t>
      </w:r>
      <w:r w:rsidRPr="003E117D">
        <w:rPr>
          <w:rStyle w:val="normaltextrun"/>
          <w:rFonts w:asciiTheme="majorHAnsi" w:hAnsiTheme="majorHAnsi" w:cstheme="majorHAnsi"/>
        </w:rPr>
        <w:t xml:space="preserve">advisers, broker-dealers, and registered venture capital fund </w:t>
      </w:r>
      <w:proofErr w:type="gramStart"/>
      <w:r w:rsidRPr="003E117D">
        <w:rPr>
          <w:rStyle w:val="normaltextrun"/>
          <w:rFonts w:asciiTheme="majorHAnsi" w:hAnsiTheme="majorHAnsi" w:cstheme="majorHAnsi"/>
        </w:rPr>
        <w:t>advisers;</w:t>
      </w:r>
      <w:proofErr w:type="gramEnd"/>
      <w:r w:rsidRPr="003E117D">
        <w:rPr>
          <w:rStyle w:val="eop"/>
          <w:rFonts w:asciiTheme="majorHAnsi" w:hAnsiTheme="majorHAnsi" w:cstheme="majorHAnsi"/>
        </w:rPr>
        <w:t> </w:t>
      </w:r>
    </w:p>
    <w:p w14:paraId="704D050A" w14:textId="77777777" w:rsidR="003E117D" w:rsidRPr="003E117D" w:rsidRDefault="003E117D" w:rsidP="003E117D">
      <w:pPr>
        <w:pStyle w:val="paragraph"/>
        <w:numPr>
          <w:ilvl w:val="0"/>
          <w:numId w:val="4"/>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Insurance companies or state-licensed insurance </w:t>
      </w:r>
      <w:proofErr w:type="gramStart"/>
      <w:r w:rsidRPr="003E117D">
        <w:rPr>
          <w:rStyle w:val="normaltextrun"/>
          <w:rFonts w:asciiTheme="majorHAnsi" w:hAnsiTheme="majorHAnsi" w:cstheme="majorHAnsi"/>
        </w:rPr>
        <w:t>producers;</w:t>
      </w:r>
      <w:proofErr w:type="gramEnd"/>
      <w:r w:rsidRPr="003E117D">
        <w:rPr>
          <w:rStyle w:val="eop"/>
          <w:rFonts w:asciiTheme="majorHAnsi" w:hAnsiTheme="majorHAnsi" w:cstheme="majorHAnsi"/>
        </w:rPr>
        <w:t> </w:t>
      </w:r>
    </w:p>
    <w:p w14:paraId="55C7320A" w14:textId="77777777" w:rsidR="003E117D" w:rsidRPr="003E117D" w:rsidRDefault="003E117D" w:rsidP="003E117D">
      <w:pPr>
        <w:pStyle w:val="paragraph"/>
        <w:numPr>
          <w:ilvl w:val="0"/>
          <w:numId w:val="4"/>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Accounting </w:t>
      </w:r>
      <w:proofErr w:type="gramStart"/>
      <w:r w:rsidRPr="003E117D">
        <w:rPr>
          <w:rStyle w:val="normaltextrun"/>
          <w:rFonts w:asciiTheme="majorHAnsi" w:hAnsiTheme="majorHAnsi" w:cstheme="majorHAnsi"/>
        </w:rPr>
        <w:t>firms;</w:t>
      </w:r>
      <w:proofErr w:type="gramEnd"/>
      <w:r w:rsidRPr="003E117D">
        <w:rPr>
          <w:rStyle w:val="eop"/>
          <w:rFonts w:asciiTheme="majorHAnsi" w:hAnsiTheme="majorHAnsi" w:cstheme="majorHAnsi"/>
        </w:rPr>
        <w:t> </w:t>
      </w:r>
    </w:p>
    <w:p w14:paraId="55D78891" w14:textId="77777777" w:rsidR="003E117D" w:rsidRPr="003E117D" w:rsidRDefault="003E117D" w:rsidP="003E117D">
      <w:pPr>
        <w:pStyle w:val="paragraph"/>
        <w:numPr>
          <w:ilvl w:val="0"/>
          <w:numId w:val="4"/>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Public </w:t>
      </w:r>
      <w:proofErr w:type="gramStart"/>
      <w:r w:rsidRPr="003E117D">
        <w:rPr>
          <w:rStyle w:val="normaltextrun"/>
          <w:rFonts w:asciiTheme="majorHAnsi" w:hAnsiTheme="majorHAnsi" w:cstheme="majorHAnsi"/>
        </w:rPr>
        <w:t>utilities;</w:t>
      </w:r>
      <w:proofErr w:type="gramEnd"/>
      <w:r w:rsidRPr="003E117D">
        <w:rPr>
          <w:rStyle w:val="eop"/>
          <w:rFonts w:asciiTheme="majorHAnsi" w:hAnsiTheme="majorHAnsi" w:cstheme="majorHAnsi"/>
        </w:rPr>
        <w:t> </w:t>
      </w:r>
    </w:p>
    <w:p w14:paraId="489F01D6" w14:textId="77777777" w:rsidR="003E117D" w:rsidRPr="003E117D" w:rsidRDefault="003E117D" w:rsidP="003E117D">
      <w:pPr>
        <w:pStyle w:val="paragraph"/>
        <w:numPr>
          <w:ilvl w:val="0"/>
          <w:numId w:val="5"/>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Certain pooled investment </w:t>
      </w:r>
      <w:proofErr w:type="gramStart"/>
      <w:r w:rsidRPr="003E117D">
        <w:rPr>
          <w:rStyle w:val="normaltextrun"/>
          <w:rFonts w:asciiTheme="majorHAnsi" w:hAnsiTheme="majorHAnsi" w:cstheme="majorHAnsi"/>
        </w:rPr>
        <w:t>vehicles;</w:t>
      </w:r>
      <w:proofErr w:type="gramEnd"/>
      <w:r w:rsidRPr="003E117D">
        <w:rPr>
          <w:rStyle w:val="eop"/>
          <w:rFonts w:asciiTheme="majorHAnsi" w:hAnsiTheme="majorHAnsi" w:cstheme="majorHAnsi"/>
        </w:rPr>
        <w:t> </w:t>
      </w:r>
    </w:p>
    <w:p w14:paraId="17163C72" w14:textId="3921471A" w:rsidR="003E117D" w:rsidRPr="003E117D" w:rsidRDefault="003E117D" w:rsidP="003E117D">
      <w:pPr>
        <w:pStyle w:val="paragraph"/>
        <w:numPr>
          <w:ilvl w:val="0"/>
          <w:numId w:val="5"/>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Tax-exempt entities </w:t>
      </w:r>
      <w:r w:rsidR="00883E36">
        <w:rPr>
          <w:rStyle w:val="normaltextrun"/>
          <w:rFonts w:asciiTheme="majorHAnsi" w:hAnsiTheme="majorHAnsi" w:cstheme="majorHAnsi"/>
        </w:rPr>
        <w:t>and</w:t>
      </w:r>
      <w:r w:rsidRPr="003E117D">
        <w:rPr>
          <w:rStyle w:val="normaltextrun"/>
          <w:rFonts w:asciiTheme="majorHAnsi" w:hAnsiTheme="majorHAnsi" w:cstheme="majorHAnsi"/>
        </w:rPr>
        <w:t xml:space="preserve"> certain entities that assist tax-exempt </w:t>
      </w:r>
      <w:proofErr w:type="gramStart"/>
      <w:r w:rsidRPr="003E117D">
        <w:rPr>
          <w:rStyle w:val="normaltextrun"/>
          <w:rFonts w:asciiTheme="majorHAnsi" w:hAnsiTheme="majorHAnsi" w:cstheme="majorHAnsi"/>
        </w:rPr>
        <w:t>entities;</w:t>
      </w:r>
      <w:proofErr w:type="gramEnd"/>
      <w:r w:rsidRPr="003E117D">
        <w:rPr>
          <w:rStyle w:val="normaltextrun"/>
          <w:rFonts w:asciiTheme="majorHAnsi" w:hAnsiTheme="majorHAnsi" w:cstheme="majorHAnsi"/>
        </w:rPr>
        <w:t xml:space="preserve"> </w:t>
      </w:r>
      <w:r w:rsidRPr="003E117D">
        <w:rPr>
          <w:rStyle w:val="eop"/>
          <w:rFonts w:asciiTheme="majorHAnsi" w:hAnsiTheme="majorHAnsi" w:cstheme="majorHAnsi"/>
        </w:rPr>
        <w:t> </w:t>
      </w:r>
    </w:p>
    <w:p w14:paraId="4B19A2C0" w14:textId="5B9983C7" w:rsidR="003E117D" w:rsidRPr="003E117D" w:rsidRDefault="003E117D" w:rsidP="003E117D">
      <w:pPr>
        <w:pStyle w:val="paragraph"/>
        <w:numPr>
          <w:ilvl w:val="0"/>
          <w:numId w:val="5"/>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Inactive companies;</w:t>
      </w:r>
      <w:r w:rsidRPr="003E117D">
        <w:rPr>
          <w:rStyle w:val="eop"/>
          <w:rFonts w:asciiTheme="majorHAnsi" w:hAnsiTheme="majorHAnsi" w:cstheme="majorHAnsi"/>
        </w:rPr>
        <w:t> </w:t>
      </w:r>
      <w:r w:rsidR="00883E36">
        <w:rPr>
          <w:rStyle w:val="eop"/>
          <w:rFonts w:asciiTheme="majorHAnsi" w:hAnsiTheme="majorHAnsi" w:cstheme="majorHAnsi"/>
        </w:rPr>
        <w:t>and</w:t>
      </w:r>
    </w:p>
    <w:p w14:paraId="31858893" w14:textId="77777777" w:rsidR="003E117D" w:rsidRPr="003E117D" w:rsidRDefault="003E117D" w:rsidP="003E117D">
      <w:pPr>
        <w:pStyle w:val="paragraph"/>
        <w:numPr>
          <w:ilvl w:val="0"/>
          <w:numId w:val="5"/>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Subsidiaries of certain exempt entities.</w:t>
      </w:r>
      <w:r w:rsidRPr="003E117D">
        <w:rPr>
          <w:rStyle w:val="eop"/>
          <w:rFonts w:asciiTheme="majorHAnsi" w:hAnsiTheme="majorHAnsi" w:cstheme="majorHAnsi"/>
        </w:rPr>
        <w:t> </w:t>
      </w:r>
    </w:p>
    <w:p w14:paraId="2505DAA5" w14:textId="14DA9B6B" w:rsidR="003E117D" w:rsidRPr="003E117D" w:rsidRDefault="003E117D" w:rsidP="00EE18F3">
      <w:pPr>
        <w:pStyle w:val="paragraph"/>
        <w:spacing w:before="0" w:beforeAutospacing="0" w:after="0" w:afterAutospacing="0"/>
        <w:ind w:firstLine="360"/>
        <w:textAlignment w:val="baseline"/>
        <w:rPr>
          <w:rFonts w:asciiTheme="majorHAnsi" w:hAnsiTheme="majorHAnsi" w:cstheme="majorHAnsi"/>
        </w:rPr>
      </w:pPr>
      <w:r w:rsidRPr="003E117D">
        <w:rPr>
          <w:rStyle w:val="eop"/>
          <w:rFonts w:asciiTheme="majorHAnsi" w:hAnsiTheme="majorHAnsi" w:cstheme="majorHAnsi"/>
        </w:rPr>
        <w:t>  </w:t>
      </w:r>
    </w:p>
    <w:p w14:paraId="6CA1B4EB" w14:textId="52ED5A5D" w:rsidR="003E117D" w:rsidRDefault="003E117D" w:rsidP="003E117D">
      <w:pPr>
        <w:pStyle w:val="paragraph"/>
        <w:spacing w:before="0" w:beforeAutospacing="0" w:after="0" w:afterAutospacing="0"/>
        <w:ind w:firstLine="720"/>
        <w:textAlignment w:val="baseline"/>
        <w:rPr>
          <w:rStyle w:val="eop"/>
          <w:rFonts w:asciiTheme="majorHAnsi" w:hAnsiTheme="majorHAnsi" w:cstheme="majorHAnsi"/>
        </w:rPr>
      </w:pPr>
      <w:r w:rsidRPr="003E117D">
        <w:rPr>
          <w:rStyle w:val="normaltextrun"/>
          <w:rFonts w:asciiTheme="majorHAnsi" w:hAnsiTheme="majorHAnsi" w:cstheme="majorHAnsi"/>
        </w:rPr>
        <w:t xml:space="preserve">Although many companies will clearly fall within an exemption, complicated </w:t>
      </w:r>
      <w:r w:rsidR="00883E36">
        <w:rPr>
          <w:rStyle w:val="normaltextrun"/>
          <w:rFonts w:asciiTheme="majorHAnsi" w:hAnsiTheme="majorHAnsi" w:cstheme="majorHAnsi"/>
        </w:rPr>
        <w:t>BOI</w:t>
      </w:r>
      <w:r w:rsidRPr="003E117D">
        <w:rPr>
          <w:rStyle w:val="normaltextrun"/>
          <w:rFonts w:asciiTheme="majorHAnsi" w:hAnsiTheme="majorHAnsi" w:cstheme="majorHAnsi"/>
        </w:rPr>
        <w:t xml:space="preserve"> reporting situations will still arise. Individual companies will have to develop internal policies and procedures to assess their reporting obligations, identify </w:t>
      </w:r>
      <w:r w:rsidR="00C10117">
        <w:rPr>
          <w:rStyle w:val="normaltextrun"/>
          <w:rFonts w:asciiTheme="majorHAnsi" w:hAnsiTheme="majorHAnsi" w:cstheme="majorHAnsi"/>
        </w:rPr>
        <w:t>Beneficial Owners</w:t>
      </w:r>
      <w:r w:rsidRPr="003E117D">
        <w:rPr>
          <w:rStyle w:val="normaltextrun"/>
          <w:rFonts w:asciiTheme="majorHAnsi" w:hAnsiTheme="majorHAnsi" w:cstheme="majorHAnsi"/>
        </w:rPr>
        <w:t>, and identify Company Applicants</w:t>
      </w:r>
      <w:r w:rsidR="00883E36">
        <w:rPr>
          <w:rStyle w:val="normaltextrun"/>
          <w:rFonts w:asciiTheme="majorHAnsi" w:hAnsiTheme="majorHAnsi" w:cstheme="majorHAnsi"/>
        </w:rPr>
        <w:t xml:space="preserve"> (as discussed in greater detail below)</w:t>
      </w:r>
      <w:r w:rsidRPr="003E117D">
        <w:rPr>
          <w:rStyle w:val="normaltextrun"/>
          <w:rFonts w:asciiTheme="majorHAnsi" w:hAnsiTheme="majorHAnsi" w:cstheme="majorHAnsi"/>
        </w:rPr>
        <w:t xml:space="preserve">. In addition, companies will need to develop policies and procedures to monitor changes to their reporting status or </w:t>
      </w:r>
      <w:r w:rsidR="00C10117">
        <w:rPr>
          <w:rStyle w:val="normaltextrun"/>
          <w:rFonts w:asciiTheme="majorHAnsi" w:hAnsiTheme="majorHAnsi" w:cstheme="majorHAnsi"/>
        </w:rPr>
        <w:t>Beneficial Owners</w:t>
      </w:r>
      <w:r w:rsidRPr="003E117D">
        <w:rPr>
          <w:rStyle w:val="normaltextrun"/>
          <w:rFonts w:asciiTheme="majorHAnsi" w:hAnsiTheme="majorHAnsi" w:cstheme="majorHAnsi"/>
        </w:rPr>
        <w:t>hip on an ongoing basis to avoid potential penalties.</w:t>
      </w:r>
      <w:r w:rsidRPr="003E117D">
        <w:rPr>
          <w:rStyle w:val="eop"/>
          <w:rFonts w:asciiTheme="majorHAnsi" w:hAnsiTheme="majorHAnsi" w:cstheme="majorHAnsi"/>
        </w:rPr>
        <w:t> </w:t>
      </w:r>
    </w:p>
    <w:p w14:paraId="2209610F" w14:textId="5CDD31B9" w:rsidR="00EE18F3" w:rsidRDefault="00EE18F3" w:rsidP="003E117D">
      <w:pPr>
        <w:pStyle w:val="paragraph"/>
        <w:spacing w:before="0" w:beforeAutospacing="0" w:after="0" w:afterAutospacing="0"/>
        <w:ind w:firstLine="720"/>
        <w:textAlignment w:val="baseline"/>
        <w:rPr>
          <w:rStyle w:val="eop"/>
          <w:rFonts w:asciiTheme="majorHAnsi" w:hAnsiTheme="majorHAnsi" w:cstheme="majorHAnsi"/>
        </w:rPr>
      </w:pPr>
    </w:p>
    <w:p w14:paraId="1C326D95" w14:textId="13F70259" w:rsidR="003E117D" w:rsidRPr="003E117D" w:rsidRDefault="003E117D" w:rsidP="00E179DC">
      <w:pPr>
        <w:pStyle w:val="paragraph"/>
        <w:spacing w:before="0" w:beforeAutospacing="0" w:after="0" w:afterAutospacing="0"/>
        <w:textAlignment w:val="baseline"/>
        <w:rPr>
          <w:rFonts w:asciiTheme="majorHAnsi" w:hAnsiTheme="majorHAnsi" w:cstheme="majorHAnsi"/>
        </w:rPr>
      </w:pPr>
      <w:r w:rsidRPr="003E117D">
        <w:rPr>
          <w:rStyle w:val="normaltextrun"/>
          <w:rFonts w:asciiTheme="majorHAnsi" w:hAnsiTheme="majorHAnsi" w:cstheme="majorHAnsi"/>
          <w:b/>
          <w:bCs/>
        </w:rPr>
        <w:t>KEY TERMS</w:t>
      </w:r>
      <w:r w:rsidRPr="003E117D">
        <w:rPr>
          <w:rStyle w:val="eop"/>
          <w:rFonts w:asciiTheme="majorHAnsi" w:hAnsiTheme="majorHAnsi" w:cstheme="majorHAnsi"/>
        </w:rPr>
        <w:t> </w:t>
      </w:r>
    </w:p>
    <w:p w14:paraId="55A2BAC1"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6ADD6605" w14:textId="190DE674" w:rsidR="003E117D" w:rsidRDefault="003E117D" w:rsidP="002169EB">
      <w:pPr>
        <w:pStyle w:val="paragraph"/>
        <w:spacing w:before="0" w:beforeAutospacing="0" w:after="0" w:afterAutospacing="0"/>
        <w:ind w:firstLine="360"/>
        <w:textAlignment w:val="baseline"/>
        <w:rPr>
          <w:rStyle w:val="eop"/>
          <w:rFonts w:asciiTheme="majorHAnsi" w:hAnsiTheme="majorHAnsi" w:cstheme="majorHAnsi"/>
        </w:rPr>
      </w:pPr>
      <w:r w:rsidRPr="003E117D">
        <w:rPr>
          <w:rStyle w:val="normaltextrun"/>
          <w:rFonts w:asciiTheme="majorHAnsi" w:hAnsiTheme="majorHAnsi" w:cstheme="majorHAnsi"/>
          <w:b/>
          <w:bCs/>
          <w:i/>
          <w:iCs/>
        </w:rPr>
        <w:t>Beneficial Owner</w:t>
      </w:r>
      <w:r w:rsidR="00EE18F3">
        <w:rPr>
          <w:rStyle w:val="eop"/>
          <w:rFonts w:asciiTheme="majorHAnsi" w:hAnsiTheme="majorHAnsi" w:cstheme="majorHAnsi"/>
        </w:rPr>
        <w:t xml:space="preserve">: </w:t>
      </w:r>
      <w:r w:rsidRPr="003E117D">
        <w:rPr>
          <w:rStyle w:val="normaltextrun"/>
          <w:rFonts w:asciiTheme="majorHAnsi" w:hAnsiTheme="majorHAnsi" w:cstheme="majorHAnsi"/>
        </w:rPr>
        <w:t xml:space="preserve">The CTA defines </w:t>
      </w:r>
      <w:r w:rsidR="002854B8">
        <w:rPr>
          <w:rStyle w:val="normaltextrun"/>
          <w:rFonts w:asciiTheme="majorHAnsi" w:hAnsiTheme="majorHAnsi" w:cstheme="majorHAnsi"/>
        </w:rPr>
        <w:t xml:space="preserve">a </w:t>
      </w:r>
      <w:r w:rsidR="00C10117">
        <w:rPr>
          <w:rStyle w:val="normaltextrun"/>
          <w:rFonts w:asciiTheme="majorHAnsi" w:hAnsiTheme="majorHAnsi" w:cstheme="majorHAnsi"/>
        </w:rPr>
        <w:t>Beneficial Owner</w:t>
      </w:r>
      <w:r w:rsidRPr="003E117D">
        <w:rPr>
          <w:rStyle w:val="normaltextrun"/>
          <w:rFonts w:asciiTheme="majorHAnsi" w:hAnsiTheme="majorHAnsi" w:cstheme="majorHAnsi"/>
        </w:rPr>
        <w:t xml:space="preserve"> as</w:t>
      </w:r>
      <w:r w:rsidRPr="003E117D">
        <w:rPr>
          <w:rStyle w:val="normaltextrun"/>
          <w:rFonts w:asciiTheme="majorHAnsi" w:hAnsiTheme="majorHAnsi" w:cstheme="majorHAnsi"/>
          <w:i/>
          <w:iCs/>
        </w:rPr>
        <w:t xml:space="preserve"> any</w:t>
      </w:r>
      <w:r w:rsidRPr="003E117D">
        <w:rPr>
          <w:rStyle w:val="normaltextrun"/>
          <w:rFonts w:asciiTheme="majorHAnsi" w:hAnsiTheme="majorHAnsi" w:cstheme="majorHAnsi"/>
        </w:rPr>
        <w:t xml:space="preserve"> individual who, directly or indirectly, either exercises substantial control over </w:t>
      </w:r>
      <w:r w:rsidR="002854B8">
        <w:rPr>
          <w:rStyle w:val="normaltextrun"/>
          <w:rFonts w:asciiTheme="majorHAnsi" w:hAnsiTheme="majorHAnsi" w:cstheme="majorHAnsi"/>
        </w:rPr>
        <w:t>a</w:t>
      </w:r>
      <w:r w:rsidRPr="003E117D">
        <w:rPr>
          <w:rStyle w:val="normaltextrun"/>
          <w:rFonts w:asciiTheme="majorHAnsi" w:hAnsiTheme="majorHAnsi" w:cstheme="majorHAnsi"/>
        </w:rPr>
        <w:t xml:space="preserve"> Reporting Company or owns or controls at least 25</w:t>
      </w:r>
      <w:r w:rsidR="002854B8">
        <w:rPr>
          <w:rStyle w:val="normaltextrun"/>
          <w:rFonts w:asciiTheme="majorHAnsi" w:hAnsiTheme="majorHAnsi" w:cstheme="majorHAnsi"/>
        </w:rPr>
        <w:t>%</w:t>
      </w:r>
      <w:r w:rsidRPr="003E117D">
        <w:rPr>
          <w:rStyle w:val="normaltextrun"/>
          <w:rFonts w:asciiTheme="majorHAnsi" w:hAnsiTheme="majorHAnsi" w:cstheme="majorHAnsi"/>
        </w:rPr>
        <w:t xml:space="preserve"> of </w:t>
      </w:r>
      <w:r w:rsidR="002854B8">
        <w:rPr>
          <w:rStyle w:val="normaltextrun"/>
          <w:rFonts w:asciiTheme="majorHAnsi" w:hAnsiTheme="majorHAnsi" w:cstheme="majorHAnsi"/>
        </w:rPr>
        <w:t>its</w:t>
      </w:r>
      <w:r w:rsidRPr="003E117D">
        <w:rPr>
          <w:rStyle w:val="normaltextrun"/>
          <w:rFonts w:asciiTheme="majorHAnsi" w:hAnsiTheme="majorHAnsi" w:cstheme="majorHAnsi"/>
        </w:rPr>
        <w:t xml:space="preserve"> ownership </w:t>
      </w:r>
      <w:proofErr w:type="gramStart"/>
      <w:r w:rsidRPr="003E117D">
        <w:rPr>
          <w:rStyle w:val="normaltextrun"/>
          <w:rFonts w:asciiTheme="majorHAnsi" w:hAnsiTheme="majorHAnsi" w:cstheme="majorHAnsi"/>
        </w:rPr>
        <w:t>interests</w:t>
      </w:r>
      <w:proofErr w:type="gramEnd"/>
      <w:r w:rsidRPr="003E117D">
        <w:rPr>
          <w:rStyle w:val="normaltextrun"/>
          <w:rFonts w:asciiTheme="majorHAnsi" w:hAnsiTheme="majorHAnsi" w:cstheme="majorHAnsi"/>
        </w:rPr>
        <w:t xml:space="preserve"> </w:t>
      </w:r>
      <w:r w:rsidRPr="003E117D">
        <w:rPr>
          <w:rStyle w:val="eop"/>
          <w:rFonts w:asciiTheme="majorHAnsi" w:hAnsiTheme="majorHAnsi" w:cstheme="majorHAnsi"/>
        </w:rPr>
        <w:t> </w:t>
      </w:r>
    </w:p>
    <w:p w14:paraId="5AE5243E" w14:textId="77777777" w:rsidR="002169EB" w:rsidRPr="003E117D" w:rsidRDefault="002169EB" w:rsidP="002169EB">
      <w:pPr>
        <w:pStyle w:val="paragraph"/>
        <w:spacing w:before="0" w:beforeAutospacing="0" w:after="0" w:afterAutospacing="0"/>
        <w:ind w:firstLine="360"/>
        <w:textAlignment w:val="baseline"/>
        <w:rPr>
          <w:rFonts w:asciiTheme="majorHAnsi" w:hAnsiTheme="majorHAnsi" w:cstheme="majorHAnsi"/>
        </w:rPr>
      </w:pPr>
    </w:p>
    <w:p w14:paraId="4A9FAED9" w14:textId="77777777" w:rsidR="003E117D" w:rsidRPr="003E117D" w:rsidRDefault="003E117D" w:rsidP="003E117D">
      <w:pPr>
        <w:pStyle w:val="paragraph"/>
        <w:numPr>
          <w:ilvl w:val="0"/>
          <w:numId w:val="8"/>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i/>
          <w:iCs/>
          <w:u w:val="single"/>
        </w:rPr>
        <w:t>Substantial Control</w:t>
      </w:r>
      <w:r w:rsidRPr="004F12A5">
        <w:rPr>
          <w:rStyle w:val="normaltextrun"/>
          <w:rFonts w:asciiTheme="majorHAnsi" w:hAnsiTheme="majorHAnsi" w:cstheme="majorHAnsi"/>
          <w:i/>
          <w:iCs/>
        </w:rPr>
        <w:t> </w:t>
      </w:r>
      <w:r w:rsidRPr="003E117D">
        <w:rPr>
          <w:rStyle w:val="eop"/>
          <w:rFonts w:asciiTheme="majorHAnsi" w:hAnsiTheme="majorHAnsi" w:cstheme="majorHAnsi"/>
        </w:rPr>
        <w:t> </w:t>
      </w:r>
    </w:p>
    <w:p w14:paraId="6B039D5C" w14:textId="77777777" w:rsidR="003E117D" w:rsidRPr="003E117D" w:rsidRDefault="003E117D" w:rsidP="00EE18F3">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lastRenderedPageBreak/>
        <w:t>Under the Final Rule, an individual exercises substantial control over a Reporting Company if the individual:</w:t>
      </w:r>
      <w:r w:rsidRPr="003E117D">
        <w:rPr>
          <w:rStyle w:val="eop"/>
          <w:rFonts w:asciiTheme="majorHAnsi" w:hAnsiTheme="majorHAnsi" w:cstheme="majorHAnsi"/>
        </w:rPr>
        <w:t> </w:t>
      </w:r>
    </w:p>
    <w:p w14:paraId="04B8CD29" w14:textId="47CA7AFF" w:rsidR="003E117D" w:rsidRPr="003E117D" w:rsidRDefault="002169EB" w:rsidP="003E117D">
      <w:pPr>
        <w:pStyle w:val="paragraph"/>
        <w:numPr>
          <w:ilvl w:val="0"/>
          <w:numId w:val="9"/>
        </w:numPr>
        <w:spacing w:before="0" w:beforeAutospacing="0" w:after="0" w:afterAutospacing="0"/>
        <w:ind w:left="1080" w:firstLine="0"/>
        <w:textAlignment w:val="baseline"/>
        <w:rPr>
          <w:rFonts w:asciiTheme="majorHAnsi" w:hAnsiTheme="majorHAnsi" w:cstheme="majorHAnsi"/>
        </w:rPr>
      </w:pPr>
      <w:r>
        <w:rPr>
          <w:rStyle w:val="normaltextrun"/>
          <w:rFonts w:asciiTheme="majorHAnsi" w:hAnsiTheme="majorHAnsi" w:cstheme="majorHAnsi"/>
        </w:rPr>
        <w:t>Is</w:t>
      </w:r>
      <w:r w:rsidR="003E117D" w:rsidRPr="003E117D">
        <w:rPr>
          <w:rStyle w:val="normaltextrun"/>
          <w:rFonts w:asciiTheme="majorHAnsi" w:hAnsiTheme="majorHAnsi" w:cstheme="majorHAnsi"/>
        </w:rPr>
        <w:t xml:space="preserve"> a senior officer of the Reporting Company</w:t>
      </w:r>
      <w:r w:rsidR="002854B8">
        <w:rPr>
          <w:rStyle w:val="normaltextrun"/>
          <w:rFonts w:asciiTheme="majorHAnsi" w:hAnsiTheme="majorHAnsi" w:cstheme="majorHAnsi"/>
        </w:rPr>
        <w:t xml:space="preserve"> (</w:t>
      </w:r>
      <w:r>
        <w:rPr>
          <w:rStyle w:val="normaltextrun"/>
          <w:rFonts w:asciiTheme="majorHAnsi" w:hAnsiTheme="majorHAnsi" w:cstheme="majorHAnsi"/>
          <w:i/>
          <w:iCs/>
        </w:rPr>
        <w:t xml:space="preserve">e.g., </w:t>
      </w:r>
      <w:r>
        <w:rPr>
          <w:rStyle w:val="normaltextrun"/>
          <w:rFonts w:asciiTheme="majorHAnsi" w:hAnsiTheme="majorHAnsi" w:cstheme="majorHAnsi"/>
        </w:rPr>
        <w:t>P</w:t>
      </w:r>
      <w:r w:rsidR="003E117D" w:rsidRPr="003E117D">
        <w:rPr>
          <w:rStyle w:val="normaltextrun"/>
          <w:rFonts w:asciiTheme="majorHAnsi" w:hAnsiTheme="majorHAnsi" w:cstheme="majorHAnsi"/>
        </w:rPr>
        <w:t>resident, CEO, CFO, COO, general counsel, or any other officer performing a similar function</w:t>
      </w:r>
      <w:proofErr w:type="gramStart"/>
      <w:r w:rsidR="002854B8">
        <w:rPr>
          <w:rStyle w:val="normaltextrun"/>
          <w:rFonts w:asciiTheme="majorHAnsi" w:hAnsiTheme="majorHAnsi" w:cstheme="majorHAnsi"/>
        </w:rPr>
        <w:t>)</w:t>
      </w:r>
      <w:r w:rsidR="003E117D" w:rsidRPr="003E117D">
        <w:rPr>
          <w:rStyle w:val="normaltextrun"/>
          <w:rFonts w:asciiTheme="majorHAnsi" w:hAnsiTheme="majorHAnsi" w:cstheme="majorHAnsi"/>
        </w:rPr>
        <w:t>;</w:t>
      </w:r>
      <w:proofErr w:type="gramEnd"/>
      <w:r w:rsidR="003E117D" w:rsidRPr="003E117D">
        <w:rPr>
          <w:rStyle w:val="eop"/>
          <w:rFonts w:asciiTheme="majorHAnsi" w:hAnsiTheme="majorHAnsi" w:cstheme="majorHAnsi"/>
        </w:rPr>
        <w:t> </w:t>
      </w:r>
    </w:p>
    <w:p w14:paraId="40A33F63" w14:textId="77777777" w:rsidR="003E117D" w:rsidRPr="003E117D" w:rsidRDefault="003E117D" w:rsidP="003E117D">
      <w:pPr>
        <w:pStyle w:val="paragraph"/>
        <w:numPr>
          <w:ilvl w:val="0"/>
          <w:numId w:val="10"/>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Has authority over the appointment or removal of any senior officer or a majority of the board of directors (or similar body) of the Reporting </w:t>
      </w:r>
      <w:proofErr w:type="gramStart"/>
      <w:r w:rsidRPr="003E117D">
        <w:rPr>
          <w:rStyle w:val="normaltextrun"/>
          <w:rFonts w:asciiTheme="majorHAnsi" w:hAnsiTheme="majorHAnsi" w:cstheme="majorHAnsi"/>
        </w:rPr>
        <w:t>Company;</w:t>
      </w:r>
      <w:proofErr w:type="gramEnd"/>
      <w:r w:rsidRPr="003E117D">
        <w:rPr>
          <w:rStyle w:val="eop"/>
          <w:rFonts w:asciiTheme="majorHAnsi" w:hAnsiTheme="majorHAnsi" w:cstheme="majorHAnsi"/>
        </w:rPr>
        <w:t> </w:t>
      </w:r>
    </w:p>
    <w:p w14:paraId="51C39A39" w14:textId="719ECDE9" w:rsidR="003E117D" w:rsidRPr="003E117D" w:rsidRDefault="003E117D" w:rsidP="003E117D">
      <w:pPr>
        <w:pStyle w:val="paragraph"/>
        <w:numPr>
          <w:ilvl w:val="0"/>
          <w:numId w:val="10"/>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Directs, </w:t>
      </w:r>
      <w:proofErr w:type="gramStart"/>
      <w:r w:rsidRPr="003E117D">
        <w:rPr>
          <w:rStyle w:val="normaltextrun"/>
          <w:rFonts w:asciiTheme="majorHAnsi" w:hAnsiTheme="majorHAnsi" w:cstheme="majorHAnsi"/>
        </w:rPr>
        <w:t>determines</w:t>
      </w:r>
      <w:proofErr w:type="gramEnd"/>
      <w:r w:rsidRPr="003E117D">
        <w:rPr>
          <w:rStyle w:val="normaltextrun"/>
          <w:rFonts w:asciiTheme="majorHAnsi" w:hAnsiTheme="majorHAnsi" w:cstheme="majorHAnsi"/>
        </w:rPr>
        <w:t xml:space="preserve"> or has substantial influence over important matters of the Reporting Company; or</w:t>
      </w:r>
      <w:r w:rsidRPr="003E117D">
        <w:rPr>
          <w:rStyle w:val="eop"/>
          <w:rFonts w:asciiTheme="majorHAnsi" w:hAnsiTheme="majorHAnsi" w:cstheme="majorHAnsi"/>
        </w:rPr>
        <w:t> </w:t>
      </w:r>
    </w:p>
    <w:p w14:paraId="58004DB4" w14:textId="77777777" w:rsidR="003E117D" w:rsidRPr="003E117D" w:rsidRDefault="003E117D" w:rsidP="003E117D">
      <w:pPr>
        <w:pStyle w:val="paragraph"/>
        <w:numPr>
          <w:ilvl w:val="0"/>
          <w:numId w:val="10"/>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Has any other form of substantial control over the Reporting Company.</w:t>
      </w:r>
      <w:r w:rsidRPr="003E117D">
        <w:rPr>
          <w:rStyle w:val="eop"/>
          <w:rFonts w:asciiTheme="majorHAnsi" w:hAnsiTheme="majorHAnsi" w:cstheme="majorHAnsi"/>
        </w:rPr>
        <w:t> </w:t>
      </w:r>
    </w:p>
    <w:p w14:paraId="1EB1D9CB" w14:textId="77777777" w:rsidR="003E117D" w:rsidRPr="003E117D" w:rsidRDefault="003E117D" w:rsidP="003E117D">
      <w:pPr>
        <w:pStyle w:val="paragraph"/>
        <w:spacing w:before="0" w:beforeAutospacing="0" w:after="0" w:afterAutospacing="0"/>
        <w:ind w:left="720"/>
        <w:textAlignment w:val="baseline"/>
        <w:rPr>
          <w:rFonts w:asciiTheme="majorHAnsi" w:hAnsiTheme="majorHAnsi" w:cstheme="majorHAnsi"/>
        </w:rPr>
      </w:pPr>
      <w:r w:rsidRPr="003E117D">
        <w:rPr>
          <w:rStyle w:val="eop"/>
          <w:rFonts w:asciiTheme="majorHAnsi" w:hAnsiTheme="majorHAnsi" w:cstheme="majorHAnsi"/>
        </w:rPr>
        <w:t> </w:t>
      </w:r>
    </w:p>
    <w:p w14:paraId="27FD0DB3"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The last prong is a catch-all provision for control that is exercised in less conventional ways and for entities with atypical governance structures. This provision is designed to capture anyone who can make important decisions on behalf of the entity.</w:t>
      </w:r>
      <w:r w:rsidRPr="003E117D">
        <w:rPr>
          <w:rStyle w:val="eop"/>
          <w:rFonts w:asciiTheme="majorHAnsi" w:hAnsiTheme="majorHAnsi" w:cstheme="majorHAnsi"/>
        </w:rPr>
        <w:t> </w:t>
      </w:r>
    </w:p>
    <w:p w14:paraId="32035469" w14:textId="77777777" w:rsidR="003E117D" w:rsidRPr="003E117D" w:rsidRDefault="003E117D" w:rsidP="003E117D">
      <w:pPr>
        <w:pStyle w:val="paragraph"/>
        <w:spacing w:before="0" w:beforeAutospacing="0" w:after="0" w:afterAutospacing="0"/>
        <w:ind w:firstLine="360"/>
        <w:textAlignment w:val="baseline"/>
        <w:rPr>
          <w:rFonts w:asciiTheme="majorHAnsi" w:hAnsiTheme="majorHAnsi" w:cstheme="majorHAnsi"/>
        </w:rPr>
      </w:pPr>
      <w:r w:rsidRPr="003E117D">
        <w:rPr>
          <w:rStyle w:val="eop"/>
          <w:rFonts w:asciiTheme="majorHAnsi" w:hAnsiTheme="majorHAnsi" w:cstheme="majorHAnsi"/>
        </w:rPr>
        <w:t> </w:t>
      </w:r>
    </w:p>
    <w:p w14:paraId="44CA0574" w14:textId="77777777" w:rsidR="003E117D" w:rsidRPr="003E117D" w:rsidRDefault="003E117D" w:rsidP="003E117D">
      <w:pPr>
        <w:pStyle w:val="paragraph"/>
        <w:numPr>
          <w:ilvl w:val="0"/>
          <w:numId w:val="11"/>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i/>
          <w:iCs/>
          <w:u w:val="single"/>
        </w:rPr>
        <w:t>Ownership Interest</w:t>
      </w:r>
      <w:r w:rsidRPr="003E117D">
        <w:rPr>
          <w:rStyle w:val="eop"/>
          <w:rFonts w:asciiTheme="majorHAnsi" w:hAnsiTheme="majorHAnsi" w:cstheme="majorHAnsi"/>
        </w:rPr>
        <w:t> </w:t>
      </w:r>
    </w:p>
    <w:p w14:paraId="15400DA8" w14:textId="6B56E07F"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 xml:space="preserve">The Reporting Rule defines ownership interest as any contract, arrangement, </w:t>
      </w:r>
      <w:r w:rsidR="002854B8">
        <w:rPr>
          <w:rStyle w:val="normaltextrun"/>
          <w:rFonts w:asciiTheme="majorHAnsi" w:hAnsiTheme="majorHAnsi" w:cstheme="majorHAnsi"/>
        </w:rPr>
        <w:t xml:space="preserve">or </w:t>
      </w:r>
      <w:r w:rsidRPr="003E117D">
        <w:rPr>
          <w:rStyle w:val="normaltextrun"/>
          <w:rFonts w:asciiTheme="majorHAnsi" w:hAnsiTheme="majorHAnsi" w:cstheme="majorHAnsi"/>
        </w:rPr>
        <w:t>understanding used to establish ownership. An individual may own or control an ownership interest of a Reporting Company in a variety of ways, including through joint ownership, certain trust arrangements, or acting as an intermediary, custodian, or agent on behalf of another. The rule provides that convertible instruments, warrants, and other rights to purchase, sell, or subscribe to an ownership interest are included, regardless of whether they are characterized as debt or equity. </w:t>
      </w:r>
      <w:r w:rsidRPr="003E117D">
        <w:rPr>
          <w:rStyle w:val="eop"/>
          <w:rFonts w:asciiTheme="majorHAnsi" w:hAnsiTheme="majorHAnsi" w:cstheme="majorHAnsi"/>
        </w:rPr>
        <w:t> </w:t>
      </w:r>
    </w:p>
    <w:p w14:paraId="5558A9B1" w14:textId="77777777" w:rsidR="003E117D" w:rsidRPr="003E117D" w:rsidRDefault="003E117D" w:rsidP="003E117D">
      <w:pPr>
        <w:pStyle w:val="paragraph"/>
        <w:spacing w:before="0" w:beforeAutospacing="0" w:after="0" w:afterAutospacing="0"/>
        <w:ind w:firstLine="360"/>
        <w:textAlignment w:val="baseline"/>
        <w:rPr>
          <w:rFonts w:asciiTheme="majorHAnsi" w:hAnsiTheme="majorHAnsi" w:cstheme="majorHAnsi"/>
        </w:rPr>
      </w:pPr>
      <w:r w:rsidRPr="003E117D">
        <w:rPr>
          <w:rStyle w:val="eop"/>
          <w:rFonts w:asciiTheme="majorHAnsi" w:hAnsiTheme="majorHAnsi" w:cstheme="majorHAnsi"/>
        </w:rPr>
        <w:t> </w:t>
      </w:r>
    </w:p>
    <w:p w14:paraId="4572C5F7" w14:textId="7EEF572D" w:rsidR="003E117D" w:rsidRDefault="003E117D" w:rsidP="003E117D">
      <w:pPr>
        <w:pStyle w:val="paragraph"/>
        <w:spacing w:before="0" w:beforeAutospacing="0" w:after="0" w:afterAutospacing="0"/>
        <w:ind w:firstLine="720"/>
        <w:textAlignment w:val="baseline"/>
        <w:rPr>
          <w:rStyle w:val="eop"/>
          <w:rFonts w:asciiTheme="majorHAnsi" w:hAnsiTheme="majorHAnsi" w:cstheme="majorHAnsi"/>
        </w:rPr>
      </w:pPr>
      <w:r w:rsidRPr="003E117D">
        <w:rPr>
          <w:rStyle w:val="normaltextrun"/>
          <w:rFonts w:asciiTheme="majorHAnsi" w:hAnsiTheme="majorHAnsi" w:cstheme="majorHAnsi"/>
        </w:rPr>
        <w:t xml:space="preserve">When determining whether an individual owns or controls 25% or more of the ownership interests, the individual’s ownership interests should be aggregated and compared to the “undiluted ownership interests” of the Reporting Company. If options or profits interests are outstanding, they are deemed to be exercised and “in the money” for purposes of the 25% ownership test. If there is more than one class of equity interests outstanding, the 25% threshold is determined as a percentage of all outstanding </w:t>
      </w:r>
      <w:proofErr w:type="gramStart"/>
      <w:r w:rsidRPr="003E117D">
        <w:rPr>
          <w:rStyle w:val="normaltextrun"/>
          <w:rFonts w:asciiTheme="majorHAnsi" w:hAnsiTheme="majorHAnsi" w:cstheme="majorHAnsi"/>
        </w:rPr>
        <w:t>interests</w:t>
      </w:r>
      <w:proofErr w:type="gramEnd"/>
      <w:r w:rsidRPr="003E117D">
        <w:rPr>
          <w:rStyle w:val="normaltextrun"/>
          <w:rFonts w:asciiTheme="majorHAnsi" w:hAnsiTheme="majorHAnsi" w:cstheme="majorHAnsi"/>
        </w:rPr>
        <w:t xml:space="preserve"> if possible, but, failing that, more than 25% of any class of equity interests triggers the reporting requirement.</w:t>
      </w:r>
      <w:r w:rsidRPr="003E117D">
        <w:rPr>
          <w:rStyle w:val="eop"/>
          <w:rFonts w:asciiTheme="majorHAnsi" w:hAnsiTheme="majorHAnsi" w:cstheme="majorHAnsi"/>
        </w:rPr>
        <w:t> </w:t>
      </w:r>
    </w:p>
    <w:p w14:paraId="5F216653" w14:textId="3EF0610B" w:rsidR="003E117D" w:rsidRPr="003E117D" w:rsidRDefault="003E117D" w:rsidP="004F12A5">
      <w:pPr>
        <w:pStyle w:val="paragraph"/>
        <w:spacing w:before="0" w:beforeAutospacing="0" w:after="0" w:afterAutospacing="0"/>
        <w:textAlignment w:val="baseline"/>
        <w:rPr>
          <w:rFonts w:asciiTheme="majorHAnsi" w:hAnsiTheme="majorHAnsi" w:cstheme="majorHAnsi"/>
        </w:rPr>
      </w:pPr>
    </w:p>
    <w:p w14:paraId="1F5F76F0"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normaltextrun"/>
          <w:rFonts w:asciiTheme="majorHAnsi" w:hAnsiTheme="majorHAnsi" w:cstheme="majorHAnsi"/>
          <w:u w:val="single"/>
        </w:rPr>
        <w:t>There are certain exclusions from the definition of a Beneficial Owner:</w:t>
      </w:r>
      <w:r w:rsidRPr="003E117D">
        <w:rPr>
          <w:rStyle w:val="eop"/>
          <w:rFonts w:asciiTheme="majorHAnsi" w:hAnsiTheme="majorHAnsi" w:cstheme="majorHAnsi"/>
        </w:rPr>
        <w:t> </w:t>
      </w:r>
    </w:p>
    <w:p w14:paraId="2C62A789" w14:textId="575F3284" w:rsidR="003E117D" w:rsidRPr="003E117D" w:rsidRDefault="003E117D" w:rsidP="003E117D">
      <w:pPr>
        <w:pStyle w:val="paragraph"/>
        <w:numPr>
          <w:ilvl w:val="0"/>
          <w:numId w:val="12"/>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Minor children, if the  parent or guardian’s information is reported </w:t>
      </w:r>
      <w:proofErr w:type="gramStart"/>
      <w:r w:rsidRPr="003E117D">
        <w:rPr>
          <w:rStyle w:val="normaltextrun"/>
          <w:rFonts w:asciiTheme="majorHAnsi" w:hAnsiTheme="majorHAnsi" w:cstheme="majorHAnsi"/>
        </w:rPr>
        <w:t>properly;</w:t>
      </w:r>
      <w:proofErr w:type="gramEnd"/>
      <w:r w:rsidRPr="003E117D">
        <w:rPr>
          <w:rStyle w:val="eop"/>
          <w:rFonts w:asciiTheme="majorHAnsi" w:hAnsiTheme="majorHAnsi" w:cstheme="majorHAnsi"/>
        </w:rPr>
        <w:t> </w:t>
      </w:r>
    </w:p>
    <w:p w14:paraId="5FC1FE25" w14:textId="00D596EB" w:rsidR="003E117D" w:rsidRPr="003E117D" w:rsidRDefault="002169EB" w:rsidP="003E117D">
      <w:pPr>
        <w:pStyle w:val="paragraph"/>
        <w:numPr>
          <w:ilvl w:val="0"/>
          <w:numId w:val="12"/>
        </w:numPr>
        <w:spacing w:before="0" w:beforeAutospacing="0" w:after="0" w:afterAutospacing="0"/>
        <w:ind w:left="1080" w:firstLine="0"/>
        <w:textAlignment w:val="baseline"/>
        <w:rPr>
          <w:rFonts w:asciiTheme="majorHAnsi" w:hAnsiTheme="majorHAnsi" w:cstheme="majorHAnsi"/>
        </w:rPr>
      </w:pPr>
      <w:r>
        <w:rPr>
          <w:rStyle w:val="normaltextrun"/>
          <w:rFonts w:asciiTheme="majorHAnsi" w:hAnsiTheme="majorHAnsi" w:cstheme="majorHAnsi"/>
        </w:rPr>
        <w:t>An i</w:t>
      </w:r>
      <w:r w:rsidR="003E117D" w:rsidRPr="003E117D">
        <w:rPr>
          <w:rStyle w:val="normaltextrun"/>
          <w:rFonts w:asciiTheme="majorHAnsi" w:hAnsiTheme="majorHAnsi" w:cstheme="majorHAnsi"/>
        </w:rPr>
        <w:t xml:space="preserve">ndividual acting as a nominee, intermediary, custodian, or agent on behalf of another </w:t>
      </w:r>
      <w:proofErr w:type="gramStart"/>
      <w:r w:rsidR="003E117D" w:rsidRPr="003E117D">
        <w:rPr>
          <w:rStyle w:val="normaltextrun"/>
          <w:rFonts w:asciiTheme="majorHAnsi" w:hAnsiTheme="majorHAnsi" w:cstheme="majorHAnsi"/>
        </w:rPr>
        <w:t>individual;</w:t>
      </w:r>
      <w:proofErr w:type="gramEnd"/>
      <w:r w:rsidR="003E117D" w:rsidRPr="003E117D">
        <w:rPr>
          <w:rStyle w:val="eop"/>
          <w:rFonts w:asciiTheme="majorHAnsi" w:hAnsiTheme="majorHAnsi" w:cstheme="majorHAnsi"/>
        </w:rPr>
        <w:t> </w:t>
      </w:r>
    </w:p>
    <w:p w14:paraId="303FC74E" w14:textId="77777777" w:rsidR="003E117D" w:rsidRPr="003E117D" w:rsidRDefault="003E117D" w:rsidP="003E117D">
      <w:pPr>
        <w:pStyle w:val="paragraph"/>
        <w:numPr>
          <w:ilvl w:val="0"/>
          <w:numId w:val="13"/>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An individual acting solely as an employee who is not a senior </w:t>
      </w:r>
      <w:proofErr w:type="gramStart"/>
      <w:r w:rsidRPr="003E117D">
        <w:rPr>
          <w:rStyle w:val="normaltextrun"/>
          <w:rFonts w:asciiTheme="majorHAnsi" w:hAnsiTheme="majorHAnsi" w:cstheme="majorHAnsi"/>
        </w:rPr>
        <w:t>officer;</w:t>
      </w:r>
      <w:proofErr w:type="gramEnd"/>
      <w:r w:rsidRPr="003E117D">
        <w:rPr>
          <w:rStyle w:val="eop"/>
          <w:rFonts w:asciiTheme="majorHAnsi" w:hAnsiTheme="majorHAnsi" w:cstheme="majorHAnsi"/>
        </w:rPr>
        <w:t> </w:t>
      </w:r>
    </w:p>
    <w:p w14:paraId="19CDCA76" w14:textId="77777777" w:rsidR="003E117D" w:rsidRPr="003E117D" w:rsidRDefault="003E117D" w:rsidP="003E117D">
      <w:pPr>
        <w:pStyle w:val="paragraph"/>
        <w:numPr>
          <w:ilvl w:val="0"/>
          <w:numId w:val="13"/>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An individual whose interest in an entity is only through a right of inheritance; or</w:t>
      </w:r>
      <w:r w:rsidRPr="003E117D">
        <w:rPr>
          <w:rStyle w:val="eop"/>
          <w:rFonts w:asciiTheme="majorHAnsi" w:hAnsiTheme="majorHAnsi" w:cstheme="majorHAnsi"/>
        </w:rPr>
        <w:t> </w:t>
      </w:r>
    </w:p>
    <w:p w14:paraId="06DCE384" w14:textId="77777777" w:rsidR="003E117D" w:rsidRPr="003E117D" w:rsidRDefault="003E117D" w:rsidP="003E117D">
      <w:pPr>
        <w:pStyle w:val="paragraph"/>
        <w:numPr>
          <w:ilvl w:val="0"/>
          <w:numId w:val="13"/>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Certain creditors.</w:t>
      </w:r>
      <w:r w:rsidRPr="003E117D">
        <w:rPr>
          <w:rStyle w:val="eop"/>
          <w:rFonts w:asciiTheme="majorHAnsi" w:hAnsiTheme="majorHAnsi" w:cstheme="majorHAnsi"/>
        </w:rPr>
        <w:t> </w:t>
      </w:r>
    </w:p>
    <w:p w14:paraId="6310FFD7" w14:textId="2E40B9D4" w:rsidR="003E117D" w:rsidRPr="003E117D" w:rsidRDefault="002169EB" w:rsidP="003E117D">
      <w:pPr>
        <w:pStyle w:val="paragraph"/>
        <w:numPr>
          <w:ilvl w:val="0"/>
          <w:numId w:val="13"/>
        </w:numPr>
        <w:spacing w:before="0" w:beforeAutospacing="0" w:after="0" w:afterAutospacing="0"/>
        <w:ind w:left="1080" w:firstLine="0"/>
        <w:textAlignment w:val="baseline"/>
        <w:rPr>
          <w:rFonts w:asciiTheme="majorHAnsi" w:hAnsiTheme="majorHAnsi" w:cstheme="majorHAnsi"/>
        </w:rPr>
      </w:pPr>
      <w:r>
        <w:rPr>
          <w:rStyle w:val="normaltextrun"/>
          <w:rFonts w:asciiTheme="majorHAnsi" w:hAnsiTheme="majorHAnsi" w:cstheme="majorHAnsi"/>
        </w:rPr>
        <w:t>Certain</w:t>
      </w:r>
      <w:r w:rsidR="003E117D" w:rsidRPr="003E117D">
        <w:rPr>
          <w:rStyle w:val="normaltextrun"/>
          <w:rFonts w:asciiTheme="majorHAnsi" w:hAnsiTheme="majorHAnsi" w:cstheme="majorHAnsi"/>
        </w:rPr>
        <w:t xml:space="preserve"> tax or legal professional</w:t>
      </w:r>
      <w:r>
        <w:rPr>
          <w:rStyle w:val="normaltextrun"/>
          <w:rFonts w:asciiTheme="majorHAnsi" w:hAnsiTheme="majorHAnsi" w:cstheme="majorHAnsi"/>
        </w:rPr>
        <w:t>s</w:t>
      </w:r>
      <w:r w:rsidR="003E117D" w:rsidRPr="003E117D">
        <w:rPr>
          <w:rStyle w:val="normaltextrun"/>
          <w:rFonts w:asciiTheme="majorHAnsi" w:hAnsiTheme="majorHAnsi" w:cstheme="majorHAnsi"/>
        </w:rPr>
        <w:t xml:space="preserve"> designated as agent</w:t>
      </w:r>
      <w:r>
        <w:rPr>
          <w:rStyle w:val="normaltextrun"/>
          <w:rFonts w:asciiTheme="majorHAnsi" w:hAnsiTheme="majorHAnsi" w:cstheme="majorHAnsi"/>
        </w:rPr>
        <w:t>s</w:t>
      </w:r>
      <w:r w:rsidR="003E117D" w:rsidRPr="003E117D">
        <w:rPr>
          <w:rStyle w:val="normaltextrun"/>
          <w:rFonts w:asciiTheme="majorHAnsi" w:hAnsiTheme="majorHAnsi" w:cstheme="majorHAnsi"/>
        </w:rPr>
        <w:t xml:space="preserve"> of the Reporting Company.</w:t>
      </w:r>
      <w:r w:rsidR="003E117D" w:rsidRPr="003E117D">
        <w:rPr>
          <w:rStyle w:val="eop"/>
          <w:rFonts w:asciiTheme="majorHAnsi" w:hAnsiTheme="majorHAnsi" w:cstheme="majorHAnsi"/>
        </w:rPr>
        <w:t> </w:t>
      </w:r>
    </w:p>
    <w:p w14:paraId="1E33C07C"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426C25AB" w14:textId="0425D3B5"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normaltextrun"/>
          <w:rFonts w:asciiTheme="majorHAnsi" w:hAnsiTheme="majorHAnsi" w:cstheme="majorHAnsi"/>
          <w:b/>
          <w:bCs/>
        </w:rPr>
        <w:t>Company Applicant</w:t>
      </w:r>
      <w:r w:rsidR="00E179DC">
        <w:rPr>
          <w:rStyle w:val="eop"/>
          <w:rFonts w:asciiTheme="majorHAnsi" w:hAnsiTheme="majorHAnsi" w:cstheme="majorHAnsi"/>
        </w:rPr>
        <w:t>:</w:t>
      </w:r>
      <w:r w:rsidR="00E179DC" w:rsidRPr="00E179DC">
        <w:rPr>
          <w:rStyle w:val="eop"/>
          <w:rFonts w:asciiTheme="majorHAnsi" w:hAnsiTheme="majorHAnsi" w:cstheme="majorHAnsi"/>
        </w:rPr>
        <w:t xml:space="preserve"> </w:t>
      </w:r>
      <w:r w:rsidR="00E179DC" w:rsidRPr="003E117D">
        <w:rPr>
          <w:rStyle w:val="eop"/>
          <w:rFonts w:asciiTheme="majorHAnsi" w:hAnsiTheme="majorHAnsi" w:cstheme="majorHAnsi"/>
        </w:rPr>
        <w:t> </w:t>
      </w:r>
      <w:r w:rsidR="00E179DC" w:rsidRPr="003E117D">
        <w:rPr>
          <w:rStyle w:val="normaltextrun"/>
          <w:rFonts w:asciiTheme="majorHAnsi" w:hAnsiTheme="majorHAnsi" w:cstheme="majorHAnsi"/>
        </w:rPr>
        <w:t xml:space="preserve">A Company Applicant is any individual who files the document to create or register the Reporting Company and the individual who is primarily responsible for directing or controlling such filing if more than one individual is involved in the filing. </w:t>
      </w:r>
    </w:p>
    <w:p w14:paraId="49EDFC0B"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49EB138D" w14:textId="4AD0FC1B"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lastRenderedPageBreak/>
        <w:t xml:space="preserve">The Final Rule specifies that existing entities formed or registered before the effective date (January 1, 2024) are </w:t>
      </w:r>
      <w:r w:rsidRPr="003E117D">
        <w:rPr>
          <w:rStyle w:val="normaltextrun"/>
          <w:rFonts w:asciiTheme="majorHAnsi" w:hAnsiTheme="majorHAnsi" w:cstheme="majorHAnsi"/>
          <w:i/>
          <w:iCs/>
        </w:rPr>
        <w:t xml:space="preserve">not </w:t>
      </w:r>
      <w:r w:rsidRPr="003E117D">
        <w:rPr>
          <w:rStyle w:val="normaltextrun"/>
          <w:rFonts w:asciiTheme="majorHAnsi" w:hAnsiTheme="majorHAnsi" w:cstheme="majorHAnsi"/>
        </w:rPr>
        <w:t xml:space="preserve">required to report Company Applicant information. </w:t>
      </w:r>
      <w:r w:rsidR="002169EB">
        <w:rPr>
          <w:rStyle w:val="normaltextrun"/>
          <w:rFonts w:asciiTheme="majorHAnsi" w:hAnsiTheme="majorHAnsi" w:cstheme="majorHAnsi"/>
        </w:rPr>
        <w:t>Reporting Companies formed after that date must report</w:t>
      </w:r>
      <w:r w:rsidRPr="003E117D">
        <w:rPr>
          <w:rStyle w:val="normaltextrun"/>
          <w:rFonts w:asciiTheme="majorHAnsi" w:hAnsiTheme="majorHAnsi" w:cstheme="majorHAnsi"/>
        </w:rPr>
        <w:t> a</w:t>
      </w:r>
      <w:r w:rsidR="00864E86">
        <w:rPr>
          <w:rStyle w:val="normaltextrun"/>
          <w:rFonts w:asciiTheme="majorHAnsi" w:hAnsiTheme="majorHAnsi" w:cstheme="majorHAnsi"/>
        </w:rPr>
        <w:t xml:space="preserve">ll </w:t>
      </w:r>
      <w:r w:rsidRPr="003E117D">
        <w:rPr>
          <w:rStyle w:val="normaltextrun"/>
          <w:rFonts w:asciiTheme="majorHAnsi" w:hAnsiTheme="majorHAnsi" w:cstheme="majorHAnsi"/>
        </w:rPr>
        <w:t>Company Applicant</w:t>
      </w:r>
      <w:r w:rsidR="00864E86">
        <w:rPr>
          <w:rStyle w:val="normaltextrun"/>
          <w:rFonts w:asciiTheme="majorHAnsi" w:hAnsiTheme="majorHAnsi" w:cstheme="majorHAnsi"/>
        </w:rPr>
        <w:t>s</w:t>
      </w:r>
      <w:r w:rsidRPr="003E117D">
        <w:rPr>
          <w:rStyle w:val="normaltextrun"/>
          <w:rFonts w:asciiTheme="majorHAnsi" w:hAnsiTheme="majorHAnsi" w:cstheme="majorHAnsi"/>
        </w:rPr>
        <w:t xml:space="preserve">. </w:t>
      </w:r>
      <w:r w:rsidRPr="003E117D">
        <w:rPr>
          <w:rStyle w:val="eop"/>
          <w:rFonts w:asciiTheme="majorHAnsi" w:hAnsiTheme="majorHAnsi" w:cstheme="majorHAnsi"/>
        </w:rPr>
        <w:t> </w:t>
      </w:r>
    </w:p>
    <w:p w14:paraId="0619EBAB"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2B72B96B" w14:textId="771DF9F4"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 xml:space="preserve">In many cases, Company Applicants may be employed by a law firm. For example, there may be an attorney primarily responsible for overseeing the preparation and filing of incorporation documents and a paralegal who </w:t>
      </w:r>
      <w:r w:rsidR="00864E86">
        <w:rPr>
          <w:rStyle w:val="normaltextrun"/>
          <w:rFonts w:asciiTheme="majorHAnsi" w:hAnsiTheme="majorHAnsi" w:cstheme="majorHAnsi"/>
        </w:rPr>
        <w:t>handles the filing</w:t>
      </w:r>
      <w:r w:rsidRPr="003E117D">
        <w:rPr>
          <w:rStyle w:val="normaltextrun"/>
          <w:rFonts w:asciiTheme="majorHAnsi" w:hAnsiTheme="majorHAnsi" w:cstheme="majorHAnsi"/>
        </w:rPr>
        <w:t>. In this example, this Reporting Company would report two Company Applicants—the attorney and the paralegal. State filing office employees who process formation documents are not the filers of the documents they process and therefore do not need to be reported. </w:t>
      </w:r>
      <w:r w:rsidRPr="003E117D">
        <w:rPr>
          <w:rStyle w:val="eop"/>
          <w:rFonts w:asciiTheme="majorHAnsi" w:hAnsiTheme="majorHAnsi" w:cstheme="majorHAnsi"/>
        </w:rPr>
        <w:t> </w:t>
      </w:r>
    </w:p>
    <w:p w14:paraId="6B3FFD7C"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10EC600E"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normaltextrun"/>
          <w:rFonts w:asciiTheme="majorHAnsi" w:hAnsiTheme="majorHAnsi" w:cstheme="majorHAnsi"/>
          <w:b/>
          <w:bCs/>
        </w:rPr>
        <w:t>WHAT MUST BE REPORTED?</w:t>
      </w:r>
      <w:r w:rsidRPr="003E117D">
        <w:rPr>
          <w:rStyle w:val="eop"/>
          <w:rFonts w:asciiTheme="majorHAnsi" w:hAnsiTheme="majorHAnsi" w:cstheme="majorHAnsi"/>
        </w:rPr>
        <w:t> </w:t>
      </w:r>
    </w:p>
    <w:p w14:paraId="572DC30A"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11A03B31" w14:textId="4BC9ECDE"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 xml:space="preserve">If </w:t>
      </w:r>
      <w:r w:rsidR="00C10117">
        <w:rPr>
          <w:rStyle w:val="normaltextrun"/>
          <w:rFonts w:asciiTheme="majorHAnsi" w:hAnsiTheme="majorHAnsi" w:cstheme="majorHAnsi"/>
        </w:rPr>
        <w:t>the</w:t>
      </w:r>
      <w:r w:rsidRPr="003E117D">
        <w:rPr>
          <w:rStyle w:val="normaltextrun"/>
          <w:rFonts w:asciiTheme="majorHAnsi" w:hAnsiTheme="majorHAnsi" w:cstheme="majorHAnsi"/>
        </w:rPr>
        <w:t xml:space="preserve"> business falls under the definition of Reporting Company, the business must provide the following information for</w:t>
      </w:r>
      <w:r w:rsidRPr="003E117D">
        <w:rPr>
          <w:rStyle w:val="normaltextrun"/>
          <w:rFonts w:asciiTheme="majorHAnsi" w:hAnsiTheme="majorHAnsi" w:cstheme="majorHAnsi"/>
          <w:i/>
          <w:iCs/>
        </w:rPr>
        <w:t xml:space="preserve"> each</w:t>
      </w:r>
      <w:r w:rsidRPr="003E117D">
        <w:rPr>
          <w:rStyle w:val="normaltextrun"/>
          <w:rFonts w:asciiTheme="majorHAnsi" w:hAnsiTheme="majorHAnsi" w:cstheme="majorHAnsi"/>
        </w:rPr>
        <w:t xml:space="preserve"> Beneficial Owner and </w:t>
      </w:r>
      <w:r w:rsidRPr="003E117D">
        <w:rPr>
          <w:rStyle w:val="normaltextrun"/>
          <w:rFonts w:asciiTheme="majorHAnsi" w:hAnsiTheme="majorHAnsi" w:cstheme="majorHAnsi"/>
          <w:i/>
          <w:iCs/>
        </w:rPr>
        <w:t>each</w:t>
      </w:r>
      <w:r w:rsidRPr="003E117D">
        <w:rPr>
          <w:rStyle w:val="normaltextrun"/>
          <w:rFonts w:asciiTheme="majorHAnsi" w:hAnsiTheme="majorHAnsi" w:cstheme="majorHAnsi"/>
        </w:rPr>
        <w:t> Company Applicant with respect to the Reporting Company.</w:t>
      </w:r>
      <w:r w:rsidRPr="003E117D">
        <w:rPr>
          <w:rStyle w:val="eop"/>
          <w:rFonts w:asciiTheme="majorHAnsi" w:hAnsiTheme="majorHAnsi" w:cstheme="majorHAnsi"/>
        </w:rPr>
        <w:t> </w:t>
      </w:r>
    </w:p>
    <w:p w14:paraId="4B0B7123"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1100173F" w14:textId="7F40C0E1" w:rsidR="003E117D" w:rsidRPr="003E117D" w:rsidRDefault="00C10117" w:rsidP="003E117D">
      <w:pPr>
        <w:pStyle w:val="paragraph"/>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b/>
          <w:bCs/>
          <w:i/>
          <w:iCs/>
        </w:rPr>
        <w:t xml:space="preserve">For </w:t>
      </w:r>
      <w:r w:rsidR="003E117D" w:rsidRPr="003E117D">
        <w:rPr>
          <w:rStyle w:val="normaltextrun"/>
          <w:rFonts w:asciiTheme="majorHAnsi" w:hAnsiTheme="majorHAnsi" w:cstheme="majorHAnsi"/>
          <w:b/>
          <w:bCs/>
          <w:i/>
          <w:iCs/>
        </w:rPr>
        <w:t>Reporting Company:</w:t>
      </w:r>
      <w:r w:rsidR="003E117D" w:rsidRPr="003E117D">
        <w:rPr>
          <w:rStyle w:val="eop"/>
          <w:rFonts w:asciiTheme="majorHAnsi" w:hAnsiTheme="majorHAnsi" w:cstheme="majorHAnsi"/>
        </w:rPr>
        <w:t> </w:t>
      </w:r>
    </w:p>
    <w:p w14:paraId="4B8882F5" w14:textId="77777777" w:rsidR="003E117D" w:rsidRPr="003E117D" w:rsidRDefault="003E117D" w:rsidP="003E117D">
      <w:pPr>
        <w:pStyle w:val="paragraph"/>
        <w:numPr>
          <w:ilvl w:val="0"/>
          <w:numId w:val="14"/>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Full legal </w:t>
      </w:r>
      <w:proofErr w:type="gramStart"/>
      <w:r w:rsidRPr="003E117D">
        <w:rPr>
          <w:rStyle w:val="normaltextrun"/>
          <w:rFonts w:asciiTheme="majorHAnsi" w:hAnsiTheme="majorHAnsi" w:cstheme="majorHAnsi"/>
        </w:rPr>
        <w:t>name;</w:t>
      </w:r>
      <w:proofErr w:type="gramEnd"/>
      <w:r w:rsidRPr="003E117D">
        <w:rPr>
          <w:rStyle w:val="eop"/>
          <w:rFonts w:asciiTheme="majorHAnsi" w:hAnsiTheme="majorHAnsi" w:cstheme="majorHAnsi"/>
        </w:rPr>
        <w:t> </w:t>
      </w:r>
    </w:p>
    <w:p w14:paraId="4F14DE40" w14:textId="447C11C5" w:rsidR="003E117D" w:rsidRPr="003E117D" w:rsidRDefault="003E117D" w:rsidP="003E117D">
      <w:pPr>
        <w:pStyle w:val="paragraph"/>
        <w:numPr>
          <w:ilvl w:val="0"/>
          <w:numId w:val="14"/>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Any trade name or </w:t>
      </w:r>
      <w:proofErr w:type="gramStart"/>
      <w:r w:rsidRPr="003E117D">
        <w:rPr>
          <w:rStyle w:val="normaltextrun"/>
          <w:rFonts w:asciiTheme="majorHAnsi" w:hAnsiTheme="majorHAnsi" w:cstheme="majorHAnsi"/>
        </w:rPr>
        <w:t>DBA;</w:t>
      </w:r>
      <w:proofErr w:type="gramEnd"/>
      <w:r w:rsidRPr="003E117D">
        <w:rPr>
          <w:rStyle w:val="normaltextrun"/>
          <w:rFonts w:asciiTheme="majorHAnsi" w:hAnsiTheme="majorHAnsi" w:cstheme="majorHAnsi"/>
        </w:rPr>
        <w:t xml:space="preserve"> </w:t>
      </w:r>
      <w:r w:rsidRPr="003E117D">
        <w:rPr>
          <w:rStyle w:val="eop"/>
          <w:rFonts w:asciiTheme="majorHAnsi" w:hAnsiTheme="majorHAnsi" w:cstheme="majorHAnsi"/>
        </w:rPr>
        <w:t> </w:t>
      </w:r>
    </w:p>
    <w:p w14:paraId="6E9F10A5" w14:textId="501B68C1" w:rsidR="003E117D" w:rsidRPr="003E117D" w:rsidRDefault="003E117D" w:rsidP="003E117D">
      <w:pPr>
        <w:pStyle w:val="paragraph"/>
        <w:numPr>
          <w:ilvl w:val="0"/>
          <w:numId w:val="14"/>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Complete current address of its </w:t>
      </w:r>
      <w:r w:rsidRPr="004F12A5">
        <w:rPr>
          <w:rStyle w:val="normaltextrun"/>
          <w:rFonts w:asciiTheme="majorHAnsi" w:hAnsiTheme="majorHAnsi" w:cstheme="majorHAnsi"/>
        </w:rPr>
        <w:t>principal place of business</w:t>
      </w:r>
      <w:r w:rsidRPr="003E117D">
        <w:rPr>
          <w:rStyle w:val="normaltextrun"/>
          <w:rFonts w:asciiTheme="majorHAnsi" w:hAnsiTheme="majorHAnsi" w:cstheme="majorHAnsi"/>
        </w:rPr>
        <w:t xml:space="preserve"> in the </w:t>
      </w:r>
      <w:proofErr w:type="gramStart"/>
      <w:r w:rsidRPr="003E117D">
        <w:rPr>
          <w:rStyle w:val="normaltextrun"/>
          <w:rFonts w:asciiTheme="majorHAnsi" w:hAnsiTheme="majorHAnsi" w:cstheme="majorHAnsi"/>
        </w:rPr>
        <w:t>U.S.;</w:t>
      </w:r>
      <w:proofErr w:type="gramEnd"/>
      <w:r w:rsidRPr="003E117D">
        <w:rPr>
          <w:rStyle w:val="eop"/>
          <w:rFonts w:asciiTheme="majorHAnsi" w:hAnsiTheme="majorHAnsi" w:cstheme="majorHAnsi"/>
        </w:rPr>
        <w:t> </w:t>
      </w:r>
    </w:p>
    <w:p w14:paraId="674E6A26" w14:textId="77777777" w:rsidR="003E117D" w:rsidRPr="003E117D" w:rsidRDefault="003E117D" w:rsidP="003E117D">
      <w:pPr>
        <w:pStyle w:val="paragraph"/>
        <w:numPr>
          <w:ilvl w:val="0"/>
          <w:numId w:val="14"/>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Jurisdiction of </w:t>
      </w:r>
      <w:proofErr w:type="gramStart"/>
      <w:r w:rsidRPr="003E117D">
        <w:rPr>
          <w:rStyle w:val="normaltextrun"/>
          <w:rFonts w:asciiTheme="majorHAnsi" w:hAnsiTheme="majorHAnsi" w:cstheme="majorHAnsi"/>
        </w:rPr>
        <w:t>formation;</w:t>
      </w:r>
      <w:proofErr w:type="gramEnd"/>
      <w:r w:rsidRPr="003E117D">
        <w:rPr>
          <w:rStyle w:val="eop"/>
          <w:rFonts w:asciiTheme="majorHAnsi" w:hAnsiTheme="majorHAnsi" w:cstheme="majorHAnsi"/>
        </w:rPr>
        <w:t> </w:t>
      </w:r>
    </w:p>
    <w:p w14:paraId="464B1656" w14:textId="682A6151" w:rsidR="003E117D" w:rsidRPr="003E117D" w:rsidRDefault="003E117D" w:rsidP="003E117D">
      <w:pPr>
        <w:pStyle w:val="paragraph"/>
        <w:numPr>
          <w:ilvl w:val="0"/>
          <w:numId w:val="14"/>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Jurisdiction of first registration for foreign </w:t>
      </w:r>
      <w:r w:rsidR="00567502">
        <w:rPr>
          <w:rStyle w:val="normaltextrun"/>
          <w:rFonts w:asciiTheme="majorHAnsi" w:hAnsiTheme="majorHAnsi" w:cstheme="majorHAnsi"/>
        </w:rPr>
        <w:t>R</w:t>
      </w:r>
      <w:r w:rsidR="00C10117">
        <w:rPr>
          <w:rStyle w:val="normaltextrun"/>
          <w:rFonts w:asciiTheme="majorHAnsi" w:hAnsiTheme="majorHAnsi" w:cstheme="majorHAnsi"/>
        </w:rPr>
        <w:t xml:space="preserve">eporting </w:t>
      </w:r>
      <w:proofErr w:type="gramStart"/>
      <w:r w:rsidR="00567502">
        <w:rPr>
          <w:rStyle w:val="normaltextrun"/>
          <w:rFonts w:asciiTheme="majorHAnsi" w:hAnsiTheme="majorHAnsi" w:cstheme="majorHAnsi"/>
        </w:rPr>
        <w:t>C</w:t>
      </w:r>
      <w:r w:rsidR="00C10117">
        <w:rPr>
          <w:rStyle w:val="normaltextrun"/>
          <w:rFonts w:asciiTheme="majorHAnsi" w:hAnsiTheme="majorHAnsi" w:cstheme="majorHAnsi"/>
        </w:rPr>
        <w:t>ompanies</w:t>
      </w:r>
      <w:r w:rsidRPr="003E117D">
        <w:rPr>
          <w:rStyle w:val="normaltextrun"/>
          <w:rFonts w:asciiTheme="majorHAnsi" w:hAnsiTheme="majorHAnsi" w:cstheme="majorHAnsi"/>
        </w:rPr>
        <w:t>;</w:t>
      </w:r>
      <w:proofErr w:type="gramEnd"/>
      <w:r w:rsidRPr="003E117D">
        <w:rPr>
          <w:rStyle w:val="eop"/>
          <w:rFonts w:asciiTheme="majorHAnsi" w:hAnsiTheme="majorHAnsi" w:cstheme="majorHAnsi"/>
        </w:rPr>
        <w:t> </w:t>
      </w:r>
    </w:p>
    <w:p w14:paraId="49A4B59C" w14:textId="1CE39A20" w:rsidR="003E117D" w:rsidRPr="003E117D" w:rsidRDefault="003E117D" w:rsidP="003E117D">
      <w:pPr>
        <w:pStyle w:val="paragraph"/>
        <w:numPr>
          <w:ilvl w:val="0"/>
          <w:numId w:val="14"/>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TIN</w:t>
      </w:r>
      <w:r w:rsidR="00567502">
        <w:rPr>
          <w:rStyle w:val="normaltextrun"/>
          <w:rFonts w:asciiTheme="majorHAnsi" w:hAnsiTheme="majorHAnsi" w:cstheme="majorHAnsi"/>
        </w:rPr>
        <w:t xml:space="preserve"> issued by the </w:t>
      </w:r>
      <w:proofErr w:type="gramStart"/>
      <w:r w:rsidR="00567502">
        <w:rPr>
          <w:rStyle w:val="normaltextrun"/>
          <w:rFonts w:asciiTheme="majorHAnsi" w:hAnsiTheme="majorHAnsi" w:cstheme="majorHAnsi"/>
        </w:rPr>
        <w:t>IRS</w:t>
      </w:r>
      <w:r w:rsidRPr="003E117D">
        <w:rPr>
          <w:rStyle w:val="normaltextrun"/>
          <w:rFonts w:asciiTheme="majorHAnsi" w:hAnsiTheme="majorHAnsi" w:cstheme="majorHAnsi"/>
        </w:rPr>
        <w:t>;</w:t>
      </w:r>
      <w:proofErr w:type="gramEnd"/>
      <w:r w:rsidRPr="003E117D">
        <w:rPr>
          <w:rStyle w:val="eop"/>
          <w:rFonts w:asciiTheme="majorHAnsi" w:hAnsiTheme="majorHAnsi" w:cstheme="majorHAnsi"/>
        </w:rPr>
        <w:t> </w:t>
      </w:r>
    </w:p>
    <w:p w14:paraId="4ED80FBE"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51E0BF58"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normaltextrun"/>
          <w:rFonts w:asciiTheme="majorHAnsi" w:hAnsiTheme="majorHAnsi" w:cstheme="majorHAnsi"/>
          <w:b/>
          <w:bCs/>
          <w:i/>
          <w:iCs/>
        </w:rPr>
        <w:t xml:space="preserve">For each Beneficial owner and each Company Applicant: </w:t>
      </w:r>
      <w:r w:rsidRPr="003E117D">
        <w:rPr>
          <w:rStyle w:val="eop"/>
          <w:rFonts w:asciiTheme="majorHAnsi" w:hAnsiTheme="majorHAnsi" w:cstheme="majorHAnsi"/>
        </w:rPr>
        <w:t> </w:t>
      </w:r>
    </w:p>
    <w:p w14:paraId="36196C36" w14:textId="60495D20" w:rsidR="003E117D" w:rsidRPr="003E117D" w:rsidRDefault="00C10117" w:rsidP="003E117D">
      <w:pPr>
        <w:pStyle w:val="paragraph"/>
        <w:numPr>
          <w:ilvl w:val="0"/>
          <w:numId w:val="15"/>
        </w:numPr>
        <w:spacing w:before="0" w:beforeAutospacing="0" w:after="0" w:afterAutospacing="0"/>
        <w:ind w:left="1080" w:firstLine="0"/>
        <w:textAlignment w:val="baseline"/>
        <w:rPr>
          <w:rFonts w:asciiTheme="majorHAnsi" w:hAnsiTheme="majorHAnsi" w:cstheme="majorHAnsi"/>
        </w:rPr>
      </w:pPr>
      <w:r>
        <w:rPr>
          <w:rStyle w:val="normaltextrun"/>
          <w:rFonts w:asciiTheme="majorHAnsi" w:hAnsiTheme="majorHAnsi" w:cstheme="majorHAnsi"/>
        </w:rPr>
        <w:t>F</w:t>
      </w:r>
      <w:r w:rsidR="003E117D" w:rsidRPr="003E117D">
        <w:rPr>
          <w:rStyle w:val="normaltextrun"/>
          <w:rFonts w:asciiTheme="majorHAnsi" w:hAnsiTheme="majorHAnsi" w:cstheme="majorHAnsi"/>
        </w:rPr>
        <w:t xml:space="preserve">ull legal </w:t>
      </w:r>
      <w:proofErr w:type="gramStart"/>
      <w:r w:rsidR="003E117D" w:rsidRPr="003E117D">
        <w:rPr>
          <w:rStyle w:val="normaltextrun"/>
          <w:rFonts w:asciiTheme="majorHAnsi" w:hAnsiTheme="majorHAnsi" w:cstheme="majorHAnsi"/>
        </w:rPr>
        <w:t>name;</w:t>
      </w:r>
      <w:proofErr w:type="gramEnd"/>
      <w:r w:rsidR="003E117D" w:rsidRPr="003E117D">
        <w:rPr>
          <w:rStyle w:val="eop"/>
          <w:rFonts w:asciiTheme="majorHAnsi" w:hAnsiTheme="majorHAnsi" w:cstheme="majorHAnsi"/>
        </w:rPr>
        <w:t> </w:t>
      </w:r>
    </w:p>
    <w:p w14:paraId="085913E9" w14:textId="34E1218F" w:rsidR="003E117D" w:rsidRPr="003E117D" w:rsidRDefault="00C10117" w:rsidP="003E117D">
      <w:pPr>
        <w:pStyle w:val="paragraph"/>
        <w:numPr>
          <w:ilvl w:val="0"/>
          <w:numId w:val="15"/>
        </w:numPr>
        <w:spacing w:before="0" w:beforeAutospacing="0" w:after="0" w:afterAutospacing="0"/>
        <w:ind w:left="1080" w:firstLine="0"/>
        <w:textAlignment w:val="baseline"/>
        <w:rPr>
          <w:rFonts w:asciiTheme="majorHAnsi" w:hAnsiTheme="majorHAnsi" w:cstheme="majorHAnsi"/>
        </w:rPr>
      </w:pPr>
      <w:r>
        <w:rPr>
          <w:rStyle w:val="normaltextrun"/>
          <w:rFonts w:asciiTheme="majorHAnsi" w:hAnsiTheme="majorHAnsi" w:cstheme="majorHAnsi"/>
        </w:rPr>
        <w:t>D</w:t>
      </w:r>
      <w:r w:rsidR="003E117D" w:rsidRPr="003E117D">
        <w:rPr>
          <w:rStyle w:val="normaltextrun"/>
          <w:rFonts w:asciiTheme="majorHAnsi" w:hAnsiTheme="majorHAnsi" w:cstheme="majorHAnsi"/>
        </w:rPr>
        <w:t xml:space="preserve">ate of </w:t>
      </w:r>
      <w:proofErr w:type="gramStart"/>
      <w:r w:rsidR="003E117D" w:rsidRPr="003E117D">
        <w:rPr>
          <w:rStyle w:val="normaltextrun"/>
          <w:rFonts w:asciiTheme="majorHAnsi" w:hAnsiTheme="majorHAnsi" w:cstheme="majorHAnsi"/>
        </w:rPr>
        <w:t>birth;</w:t>
      </w:r>
      <w:proofErr w:type="gramEnd"/>
      <w:r w:rsidR="003E117D" w:rsidRPr="003E117D">
        <w:rPr>
          <w:rStyle w:val="eop"/>
          <w:rFonts w:asciiTheme="majorHAnsi" w:hAnsiTheme="majorHAnsi" w:cstheme="majorHAnsi"/>
        </w:rPr>
        <w:t> </w:t>
      </w:r>
    </w:p>
    <w:p w14:paraId="5C5D7F46" w14:textId="6579D45D" w:rsidR="003E117D" w:rsidRPr="003E117D" w:rsidRDefault="00C10117" w:rsidP="003E117D">
      <w:pPr>
        <w:pStyle w:val="paragraph"/>
        <w:numPr>
          <w:ilvl w:val="0"/>
          <w:numId w:val="15"/>
        </w:numPr>
        <w:spacing w:before="0" w:beforeAutospacing="0" w:after="0" w:afterAutospacing="0"/>
        <w:ind w:left="1080" w:firstLine="0"/>
        <w:textAlignment w:val="baseline"/>
        <w:rPr>
          <w:rFonts w:asciiTheme="majorHAnsi" w:hAnsiTheme="majorHAnsi" w:cstheme="majorHAnsi"/>
        </w:rPr>
      </w:pPr>
      <w:r>
        <w:rPr>
          <w:rStyle w:val="normaltextrun"/>
          <w:rFonts w:asciiTheme="majorHAnsi" w:hAnsiTheme="majorHAnsi" w:cstheme="majorHAnsi"/>
        </w:rPr>
        <w:t>C</w:t>
      </w:r>
      <w:r w:rsidR="003E117D" w:rsidRPr="003E117D">
        <w:rPr>
          <w:rStyle w:val="normaltextrun"/>
          <w:rFonts w:asciiTheme="majorHAnsi" w:hAnsiTheme="majorHAnsi" w:cstheme="majorHAnsi"/>
        </w:rPr>
        <w:t>urrent residential or business street address; and</w:t>
      </w:r>
      <w:r w:rsidR="003E117D" w:rsidRPr="003E117D">
        <w:rPr>
          <w:rStyle w:val="eop"/>
          <w:rFonts w:asciiTheme="majorHAnsi" w:hAnsiTheme="majorHAnsi" w:cstheme="majorHAnsi"/>
        </w:rPr>
        <w:t> </w:t>
      </w:r>
    </w:p>
    <w:p w14:paraId="09E89206" w14:textId="27B71817" w:rsidR="003E117D" w:rsidRPr="003E117D" w:rsidRDefault="00C10117" w:rsidP="00C10117">
      <w:pPr>
        <w:pStyle w:val="paragraph"/>
        <w:numPr>
          <w:ilvl w:val="1"/>
          <w:numId w:val="15"/>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A</w:t>
      </w:r>
      <w:r w:rsidR="003E117D" w:rsidRPr="003E117D">
        <w:rPr>
          <w:rStyle w:val="normaltextrun"/>
          <w:rFonts w:asciiTheme="majorHAnsi" w:hAnsiTheme="majorHAnsi" w:cstheme="majorHAnsi"/>
        </w:rPr>
        <w:t xml:space="preserve"> unique identifying number from an acceptable identification document (</w:t>
      </w:r>
      <w:r w:rsidR="00567502">
        <w:rPr>
          <w:rStyle w:val="normaltextrun"/>
          <w:rFonts w:asciiTheme="majorHAnsi" w:hAnsiTheme="majorHAnsi" w:cstheme="majorHAnsi"/>
          <w:i/>
          <w:iCs/>
        </w:rPr>
        <w:t>e.g.</w:t>
      </w:r>
      <w:r w:rsidR="00567502">
        <w:rPr>
          <w:rStyle w:val="normaltextrun"/>
          <w:rFonts w:asciiTheme="majorHAnsi" w:hAnsiTheme="majorHAnsi" w:cstheme="majorHAnsi"/>
        </w:rPr>
        <w:t xml:space="preserve">, </w:t>
      </w:r>
      <w:r w:rsidR="003E117D" w:rsidRPr="003E117D">
        <w:rPr>
          <w:rStyle w:val="normaltextrun"/>
          <w:rFonts w:asciiTheme="majorHAnsi" w:hAnsiTheme="majorHAnsi" w:cstheme="majorHAnsi"/>
        </w:rPr>
        <w:t xml:space="preserve">passport, driver’s </w:t>
      </w:r>
      <w:proofErr w:type="gramStart"/>
      <w:r w:rsidR="003E117D" w:rsidRPr="003E117D">
        <w:rPr>
          <w:rStyle w:val="normaltextrun"/>
          <w:rFonts w:asciiTheme="majorHAnsi" w:hAnsiTheme="majorHAnsi" w:cstheme="majorHAnsi"/>
        </w:rPr>
        <w:t>license</w:t>
      </w:r>
      <w:proofErr w:type="gramEnd"/>
      <w:r w:rsidR="003E117D" w:rsidRPr="003E117D">
        <w:rPr>
          <w:rStyle w:val="normaltextrun"/>
          <w:rFonts w:asciiTheme="majorHAnsi" w:hAnsiTheme="majorHAnsi" w:cstheme="majorHAnsi"/>
        </w:rPr>
        <w:t xml:space="preserve"> or other government</w:t>
      </w:r>
      <w:r w:rsidR="00567502">
        <w:rPr>
          <w:rStyle w:val="normaltextrun"/>
          <w:rFonts w:asciiTheme="majorHAnsi" w:hAnsiTheme="majorHAnsi" w:cstheme="majorHAnsi"/>
        </w:rPr>
        <w:t>-</w:t>
      </w:r>
      <w:r w:rsidR="003E117D" w:rsidRPr="003E117D">
        <w:rPr>
          <w:rStyle w:val="normaltextrun"/>
          <w:rFonts w:asciiTheme="majorHAnsi" w:hAnsiTheme="majorHAnsi" w:cstheme="majorHAnsi"/>
        </w:rPr>
        <w:t xml:space="preserve">issued </w:t>
      </w:r>
      <w:r w:rsidR="00567502">
        <w:rPr>
          <w:rStyle w:val="normaltextrun"/>
          <w:rFonts w:asciiTheme="majorHAnsi" w:hAnsiTheme="majorHAnsi" w:cstheme="majorHAnsi"/>
        </w:rPr>
        <w:t>ID</w:t>
      </w:r>
      <w:r w:rsidR="003E117D" w:rsidRPr="003E117D">
        <w:rPr>
          <w:rStyle w:val="normaltextrun"/>
          <w:rFonts w:asciiTheme="majorHAnsi" w:hAnsiTheme="majorHAnsi" w:cstheme="majorHAnsi"/>
        </w:rPr>
        <w:t>) or a FinCEN identifier. </w:t>
      </w:r>
      <w:r w:rsidR="003E117D" w:rsidRPr="003E117D">
        <w:rPr>
          <w:rStyle w:val="eop"/>
          <w:rFonts w:asciiTheme="majorHAnsi" w:hAnsiTheme="majorHAnsi" w:cstheme="majorHAnsi"/>
        </w:rPr>
        <w:t> </w:t>
      </w:r>
    </w:p>
    <w:p w14:paraId="3F9BD73A"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589C9400"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While an individual may file a report on behalf of a reporting company, the Reporting Company is ultimately responsible for the filing. The same is true of the certification. The Reporting Company will be required to make the certification, and any individual who files the report as an agent of the Reporting Company will certify on the Reporting Company's behalf.</w:t>
      </w:r>
      <w:r w:rsidRPr="003E117D">
        <w:rPr>
          <w:rStyle w:val="eop"/>
          <w:rFonts w:asciiTheme="majorHAnsi" w:hAnsiTheme="majorHAnsi" w:cstheme="majorHAnsi"/>
        </w:rPr>
        <w:t> </w:t>
      </w:r>
    </w:p>
    <w:p w14:paraId="09E6AC3B"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7169F9F2"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normaltextrun"/>
          <w:rFonts w:asciiTheme="majorHAnsi" w:hAnsiTheme="majorHAnsi" w:cstheme="majorHAnsi"/>
          <w:b/>
          <w:bCs/>
        </w:rPr>
        <w:t>WHEN AND HOW TO REPORT?</w:t>
      </w:r>
      <w:r w:rsidRPr="003E117D">
        <w:rPr>
          <w:rStyle w:val="eop"/>
          <w:rFonts w:asciiTheme="majorHAnsi" w:hAnsiTheme="majorHAnsi" w:cstheme="majorHAnsi"/>
        </w:rPr>
        <w:t> </w:t>
      </w:r>
    </w:p>
    <w:p w14:paraId="09A6A0B2"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586F6FCE"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normaltextrun"/>
          <w:rFonts w:asciiTheme="majorHAnsi" w:hAnsiTheme="majorHAnsi" w:cstheme="majorHAnsi"/>
          <w:b/>
          <w:bCs/>
          <w:i/>
          <w:iCs/>
        </w:rPr>
        <w:t>When to Report</w:t>
      </w:r>
      <w:r w:rsidRPr="003E117D">
        <w:rPr>
          <w:rStyle w:val="eop"/>
          <w:rFonts w:asciiTheme="majorHAnsi" w:hAnsiTheme="majorHAnsi" w:cstheme="majorHAnsi"/>
        </w:rPr>
        <w:t> </w:t>
      </w:r>
    </w:p>
    <w:p w14:paraId="462112F1"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7DE090F9"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The Reporting Rule goes into effect on January 1, 2024. </w:t>
      </w:r>
      <w:r w:rsidRPr="003E117D">
        <w:rPr>
          <w:rStyle w:val="eop"/>
          <w:rFonts w:asciiTheme="majorHAnsi" w:hAnsiTheme="majorHAnsi" w:cstheme="majorHAnsi"/>
        </w:rPr>
        <w:t> </w:t>
      </w:r>
    </w:p>
    <w:p w14:paraId="2B26901A"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3668FDDF" w14:textId="2CA54ECF" w:rsidR="003E117D" w:rsidRPr="003E117D" w:rsidRDefault="00C10117" w:rsidP="00567502">
      <w:pPr>
        <w:pStyle w:val="paragraph"/>
        <w:spacing w:before="0" w:beforeAutospacing="0" w:after="0" w:afterAutospacing="0"/>
        <w:ind w:firstLine="720"/>
        <w:textAlignment w:val="baseline"/>
        <w:rPr>
          <w:rFonts w:asciiTheme="majorHAnsi" w:hAnsiTheme="majorHAnsi" w:cstheme="majorHAnsi"/>
        </w:rPr>
      </w:pPr>
      <w:r>
        <w:rPr>
          <w:rStyle w:val="normaltextrun"/>
          <w:rFonts w:asciiTheme="majorHAnsi" w:hAnsiTheme="majorHAnsi" w:cstheme="majorHAnsi"/>
        </w:rPr>
        <w:lastRenderedPageBreak/>
        <w:t xml:space="preserve">Reporting </w:t>
      </w:r>
      <w:r w:rsidR="00567502">
        <w:rPr>
          <w:rStyle w:val="normaltextrun"/>
          <w:rFonts w:asciiTheme="majorHAnsi" w:hAnsiTheme="majorHAnsi" w:cstheme="majorHAnsi"/>
        </w:rPr>
        <w:t>C</w:t>
      </w:r>
      <w:r>
        <w:rPr>
          <w:rStyle w:val="normaltextrun"/>
          <w:rFonts w:asciiTheme="majorHAnsi" w:hAnsiTheme="majorHAnsi" w:cstheme="majorHAnsi"/>
        </w:rPr>
        <w:t>ompanies</w:t>
      </w:r>
      <w:r w:rsidR="003E117D" w:rsidRPr="003E117D">
        <w:rPr>
          <w:rStyle w:val="normaltextrun"/>
          <w:rFonts w:asciiTheme="majorHAnsi" w:hAnsiTheme="majorHAnsi" w:cstheme="majorHAnsi"/>
        </w:rPr>
        <w:t xml:space="preserve"> created before January 1, </w:t>
      </w:r>
      <w:proofErr w:type="gramStart"/>
      <w:r w:rsidR="003E117D" w:rsidRPr="003E117D">
        <w:rPr>
          <w:rStyle w:val="normaltextrun"/>
          <w:rFonts w:asciiTheme="majorHAnsi" w:hAnsiTheme="majorHAnsi" w:cstheme="majorHAnsi"/>
        </w:rPr>
        <w:t>2024</w:t>
      </w:r>
      <w:proofErr w:type="gramEnd"/>
      <w:r w:rsidR="003E117D" w:rsidRPr="003E117D">
        <w:rPr>
          <w:rStyle w:val="normaltextrun"/>
          <w:rFonts w:asciiTheme="majorHAnsi" w:hAnsiTheme="majorHAnsi" w:cstheme="majorHAnsi"/>
        </w:rPr>
        <w:t xml:space="preserve"> will have one year (until </w:t>
      </w:r>
      <w:r w:rsidR="003E117D" w:rsidRPr="003E117D">
        <w:rPr>
          <w:rStyle w:val="normaltextrun"/>
          <w:rFonts w:asciiTheme="majorHAnsi" w:hAnsiTheme="majorHAnsi" w:cstheme="majorHAnsi"/>
          <w:u w:val="single"/>
        </w:rPr>
        <w:t>January 1, 2025</w:t>
      </w:r>
      <w:r w:rsidR="003E117D" w:rsidRPr="003E117D">
        <w:rPr>
          <w:rStyle w:val="normaltextrun"/>
          <w:rFonts w:asciiTheme="majorHAnsi" w:hAnsiTheme="majorHAnsi" w:cstheme="majorHAnsi"/>
        </w:rPr>
        <w:t xml:space="preserve">) to file the required information.  These companies are required to submit information about their </w:t>
      </w:r>
      <w:r>
        <w:rPr>
          <w:rStyle w:val="normaltextrun"/>
          <w:rFonts w:asciiTheme="majorHAnsi" w:hAnsiTheme="majorHAnsi" w:cstheme="majorHAnsi"/>
        </w:rPr>
        <w:t>Beneficial Owners</w:t>
      </w:r>
      <w:r w:rsidR="003E117D" w:rsidRPr="003E117D">
        <w:rPr>
          <w:rStyle w:val="normaltextrun"/>
          <w:rFonts w:asciiTheme="majorHAnsi" w:hAnsiTheme="majorHAnsi" w:cstheme="majorHAnsi"/>
        </w:rPr>
        <w:t xml:space="preserve"> but are not required to report information about their Company Applicants. </w:t>
      </w:r>
      <w:r>
        <w:rPr>
          <w:rStyle w:val="normaltextrun"/>
          <w:rFonts w:asciiTheme="majorHAnsi" w:hAnsiTheme="majorHAnsi" w:cstheme="majorHAnsi"/>
        </w:rPr>
        <w:t xml:space="preserve">Reporting </w:t>
      </w:r>
      <w:r w:rsidR="00567502">
        <w:rPr>
          <w:rStyle w:val="normaltextrun"/>
          <w:rFonts w:asciiTheme="majorHAnsi" w:hAnsiTheme="majorHAnsi" w:cstheme="majorHAnsi"/>
        </w:rPr>
        <w:t>C</w:t>
      </w:r>
      <w:r>
        <w:rPr>
          <w:rStyle w:val="normaltextrun"/>
          <w:rFonts w:asciiTheme="majorHAnsi" w:hAnsiTheme="majorHAnsi" w:cstheme="majorHAnsi"/>
        </w:rPr>
        <w:t>ompanies</w:t>
      </w:r>
      <w:r w:rsidR="003E117D" w:rsidRPr="003E117D">
        <w:rPr>
          <w:rStyle w:val="normaltextrun"/>
          <w:rFonts w:asciiTheme="majorHAnsi" w:hAnsiTheme="majorHAnsi" w:cstheme="majorHAnsi"/>
        </w:rPr>
        <w:t xml:space="preserve"> created on or after January 1, </w:t>
      </w:r>
      <w:proofErr w:type="gramStart"/>
      <w:r w:rsidR="003E117D" w:rsidRPr="003E117D">
        <w:rPr>
          <w:rStyle w:val="normaltextrun"/>
          <w:rFonts w:asciiTheme="majorHAnsi" w:hAnsiTheme="majorHAnsi" w:cstheme="majorHAnsi"/>
        </w:rPr>
        <w:t>2024</w:t>
      </w:r>
      <w:proofErr w:type="gramEnd"/>
      <w:r w:rsidR="003E117D" w:rsidRPr="003E117D">
        <w:rPr>
          <w:rStyle w:val="normaltextrun"/>
          <w:rFonts w:asciiTheme="majorHAnsi" w:hAnsiTheme="majorHAnsi" w:cstheme="majorHAnsi"/>
        </w:rPr>
        <w:t xml:space="preserve"> will be required to include information on both Company Applicants and </w:t>
      </w:r>
      <w:r>
        <w:rPr>
          <w:rStyle w:val="normaltextrun"/>
          <w:rFonts w:asciiTheme="majorHAnsi" w:hAnsiTheme="majorHAnsi" w:cstheme="majorHAnsi"/>
        </w:rPr>
        <w:t>Beneficial Owners</w:t>
      </w:r>
      <w:r w:rsidR="003E117D" w:rsidRPr="003E117D">
        <w:rPr>
          <w:rStyle w:val="normaltextrun"/>
          <w:rFonts w:asciiTheme="majorHAnsi" w:hAnsiTheme="majorHAnsi" w:cstheme="majorHAnsi"/>
        </w:rPr>
        <w:t xml:space="preserve"> within 30 days </w:t>
      </w:r>
      <w:r w:rsidR="00567502">
        <w:rPr>
          <w:rStyle w:val="normaltextrun"/>
          <w:rFonts w:asciiTheme="majorHAnsi" w:hAnsiTheme="majorHAnsi" w:cstheme="majorHAnsi"/>
        </w:rPr>
        <w:t>of</w:t>
      </w:r>
      <w:r w:rsidR="003E117D" w:rsidRPr="003E117D">
        <w:rPr>
          <w:rStyle w:val="normaltextrun"/>
          <w:rFonts w:asciiTheme="majorHAnsi" w:hAnsiTheme="majorHAnsi" w:cstheme="majorHAnsi"/>
        </w:rPr>
        <w:t xml:space="preserve"> formation or registration.  </w:t>
      </w:r>
      <w:r w:rsidR="003E117D" w:rsidRPr="003E117D">
        <w:rPr>
          <w:rStyle w:val="eop"/>
          <w:rFonts w:asciiTheme="majorHAnsi" w:hAnsiTheme="majorHAnsi" w:cstheme="majorHAnsi"/>
        </w:rPr>
        <w:t> </w:t>
      </w:r>
    </w:p>
    <w:p w14:paraId="74E03707"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58ABF5FC" w14:textId="5CCD33B0"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 xml:space="preserve">Any change to the information previously reported concerning a Reporting Company or its </w:t>
      </w:r>
      <w:r w:rsidR="00C10117">
        <w:rPr>
          <w:rStyle w:val="normaltextrun"/>
          <w:rFonts w:asciiTheme="majorHAnsi" w:hAnsiTheme="majorHAnsi" w:cstheme="majorHAnsi"/>
        </w:rPr>
        <w:t>Beneficial Owners</w:t>
      </w:r>
      <w:r w:rsidRPr="003E117D">
        <w:rPr>
          <w:rStyle w:val="normaltextrun"/>
          <w:rFonts w:asciiTheme="majorHAnsi" w:hAnsiTheme="majorHAnsi" w:cstheme="majorHAnsi"/>
        </w:rPr>
        <w:t xml:space="preserve"> must be reported to FinCEN within 30 days. No updates are required with respect to Company Applicant information. </w:t>
      </w:r>
      <w:r w:rsidRPr="003E117D">
        <w:rPr>
          <w:rStyle w:val="eop"/>
          <w:rFonts w:asciiTheme="majorHAnsi" w:hAnsiTheme="majorHAnsi" w:cstheme="majorHAnsi"/>
        </w:rPr>
        <w:t> </w:t>
      </w:r>
    </w:p>
    <w:p w14:paraId="5808BADC" w14:textId="4744D4A2" w:rsidR="003E117D" w:rsidRPr="003E117D" w:rsidRDefault="003E117D" w:rsidP="003E117D">
      <w:pPr>
        <w:pStyle w:val="paragraph"/>
        <w:numPr>
          <w:ilvl w:val="0"/>
          <w:numId w:val="16"/>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With respect to deceased </w:t>
      </w:r>
      <w:r w:rsidR="00C10117">
        <w:rPr>
          <w:rStyle w:val="normaltextrun"/>
          <w:rFonts w:asciiTheme="majorHAnsi" w:hAnsiTheme="majorHAnsi" w:cstheme="majorHAnsi"/>
        </w:rPr>
        <w:t>Beneficial Owners</w:t>
      </w:r>
      <w:r w:rsidRPr="003E117D">
        <w:rPr>
          <w:rStyle w:val="normaltextrun"/>
          <w:rFonts w:asciiTheme="majorHAnsi" w:hAnsiTheme="majorHAnsi" w:cstheme="majorHAnsi"/>
        </w:rPr>
        <w:t xml:space="preserve">, an updated report must identify new </w:t>
      </w:r>
      <w:r w:rsidR="00C10117">
        <w:rPr>
          <w:rStyle w:val="normaltextrun"/>
          <w:rFonts w:asciiTheme="majorHAnsi" w:hAnsiTheme="majorHAnsi" w:cstheme="majorHAnsi"/>
        </w:rPr>
        <w:t>Beneficial Owners</w:t>
      </w:r>
      <w:r w:rsidRPr="003E117D">
        <w:rPr>
          <w:rStyle w:val="normaltextrun"/>
          <w:rFonts w:asciiTheme="majorHAnsi" w:hAnsiTheme="majorHAnsi" w:cstheme="majorHAnsi"/>
        </w:rPr>
        <w:t xml:space="preserve"> within 30 days of the settlement of the </w:t>
      </w:r>
      <w:r w:rsidR="00D0661D">
        <w:rPr>
          <w:rStyle w:val="normaltextrun"/>
          <w:rFonts w:asciiTheme="majorHAnsi" w:hAnsiTheme="majorHAnsi" w:cstheme="majorHAnsi"/>
        </w:rPr>
        <w:t xml:space="preserve">decedent’s </w:t>
      </w:r>
      <w:r w:rsidRPr="003E117D">
        <w:rPr>
          <w:rStyle w:val="normaltextrun"/>
          <w:rFonts w:asciiTheme="majorHAnsi" w:hAnsiTheme="majorHAnsi" w:cstheme="majorHAnsi"/>
        </w:rPr>
        <w:t xml:space="preserve">estate. </w:t>
      </w:r>
      <w:r w:rsidRPr="003E117D">
        <w:rPr>
          <w:rStyle w:val="eop"/>
          <w:rFonts w:asciiTheme="majorHAnsi" w:hAnsiTheme="majorHAnsi" w:cstheme="majorHAnsi"/>
        </w:rPr>
        <w:t> </w:t>
      </w:r>
    </w:p>
    <w:p w14:paraId="61F55C7E" w14:textId="104FDE81" w:rsidR="003E117D" w:rsidRPr="003E117D" w:rsidRDefault="00D0661D" w:rsidP="003E117D">
      <w:pPr>
        <w:pStyle w:val="paragraph"/>
        <w:numPr>
          <w:ilvl w:val="0"/>
          <w:numId w:val="16"/>
        </w:numPr>
        <w:spacing w:before="0" w:beforeAutospacing="0" w:after="0" w:afterAutospacing="0"/>
        <w:ind w:left="1080" w:firstLine="0"/>
        <w:textAlignment w:val="baseline"/>
        <w:rPr>
          <w:rFonts w:asciiTheme="majorHAnsi" w:hAnsiTheme="majorHAnsi" w:cstheme="majorHAnsi"/>
        </w:rPr>
      </w:pPr>
      <w:r>
        <w:rPr>
          <w:rStyle w:val="normaltextrun"/>
          <w:rFonts w:asciiTheme="majorHAnsi" w:hAnsiTheme="majorHAnsi" w:cstheme="majorHAnsi"/>
        </w:rPr>
        <w:t>A</w:t>
      </w:r>
      <w:r w:rsidR="003E117D" w:rsidRPr="003E117D">
        <w:rPr>
          <w:rStyle w:val="normaltextrun"/>
          <w:rFonts w:asciiTheme="majorHAnsi" w:hAnsiTheme="majorHAnsi" w:cstheme="majorHAnsi"/>
        </w:rPr>
        <w:t xml:space="preserve">n updated report must be filed if the </w:t>
      </w:r>
      <w:r>
        <w:rPr>
          <w:rStyle w:val="normaltextrun"/>
          <w:rFonts w:asciiTheme="majorHAnsi" w:hAnsiTheme="majorHAnsi" w:cstheme="majorHAnsi"/>
        </w:rPr>
        <w:t>decedent</w:t>
      </w:r>
      <w:r w:rsidR="003E117D" w:rsidRPr="003E117D">
        <w:rPr>
          <w:rStyle w:val="normaltextrun"/>
          <w:rFonts w:asciiTheme="majorHAnsi" w:hAnsiTheme="majorHAnsi" w:cstheme="majorHAnsi"/>
        </w:rPr>
        <w:t xml:space="preserve"> was a Beneficial Owner “by virtue of property interests or other rights subject to transfer upon death”</w:t>
      </w:r>
      <w:r>
        <w:rPr>
          <w:rStyle w:val="normaltextrun"/>
          <w:rFonts w:asciiTheme="majorHAnsi" w:hAnsiTheme="majorHAnsi" w:cstheme="majorHAnsi"/>
        </w:rPr>
        <w:t>—</w:t>
      </w:r>
      <w:r w:rsidR="003E117D" w:rsidRPr="003E117D">
        <w:rPr>
          <w:rStyle w:val="normaltextrun"/>
          <w:rFonts w:asciiTheme="majorHAnsi" w:hAnsiTheme="majorHAnsi" w:cstheme="majorHAnsi"/>
        </w:rPr>
        <w:t>not solely because the deceased Beneficial Owner owned or controlled 25</w:t>
      </w:r>
      <w:r>
        <w:rPr>
          <w:rStyle w:val="normaltextrun"/>
          <w:rFonts w:asciiTheme="majorHAnsi" w:hAnsiTheme="majorHAnsi" w:cstheme="majorHAnsi"/>
        </w:rPr>
        <w:t>%</w:t>
      </w:r>
      <w:r w:rsidR="003E117D" w:rsidRPr="003E117D">
        <w:rPr>
          <w:rStyle w:val="normaltextrun"/>
          <w:rFonts w:asciiTheme="majorHAnsi" w:hAnsiTheme="majorHAnsi" w:cstheme="majorHAnsi"/>
        </w:rPr>
        <w:t xml:space="preserve"> of the Reporting Company's ownership interests. </w:t>
      </w:r>
      <w:r w:rsidR="003E117D" w:rsidRPr="003E117D">
        <w:rPr>
          <w:rStyle w:val="eop"/>
          <w:rFonts w:asciiTheme="majorHAnsi" w:hAnsiTheme="majorHAnsi" w:cstheme="majorHAnsi"/>
        </w:rPr>
        <w:t> </w:t>
      </w:r>
    </w:p>
    <w:p w14:paraId="1CEA2E0F" w14:textId="74B66915" w:rsidR="003E117D" w:rsidRPr="003E117D" w:rsidRDefault="00D0661D" w:rsidP="003E117D">
      <w:pPr>
        <w:pStyle w:val="paragraph"/>
        <w:numPr>
          <w:ilvl w:val="0"/>
          <w:numId w:val="16"/>
        </w:numPr>
        <w:spacing w:before="0" w:beforeAutospacing="0" w:after="0" w:afterAutospacing="0"/>
        <w:ind w:left="1080" w:firstLine="0"/>
        <w:textAlignment w:val="baseline"/>
        <w:rPr>
          <w:rFonts w:asciiTheme="majorHAnsi" w:hAnsiTheme="majorHAnsi" w:cstheme="majorHAnsi"/>
        </w:rPr>
      </w:pPr>
      <w:r>
        <w:rPr>
          <w:rStyle w:val="normaltextrun"/>
          <w:rFonts w:asciiTheme="majorHAnsi" w:hAnsiTheme="majorHAnsi" w:cstheme="majorHAnsi"/>
        </w:rPr>
        <w:t>No special rules apply f</w:t>
      </w:r>
      <w:r w:rsidR="003E117D" w:rsidRPr="003E117D">
        <w:rPr>
          <w:rStyle w:val="normaltextrun"/>
          <w:rFonts w:asciiTheme="majorHAnsi" w:hAnsiTheme="majorHAnsi" w:cstheme="majorHAnsi"/>
        </w:rPr>
        <w:t xml:space="preserve">or purposes of determining whether successors to the deceased Beneficial Owner </w:t>
      </w:r>
      <w:r>
        <w:rPr>
          <w:rStyle w:val="normaltextrun"/>
          <w:rFonts w:asciiTheme="majorHAnsi" w:hAnsiTheme="majorHAnsi" w:cstheme="majorHAnsi"/>
        </w:rPr>
        <w:t>are</w:t>
      </w:r>
      <w:r w:rsidR="003E117D" w:rsidRPr="003E117D">
        <w:rPr>
          <w:rStyle w:val="normaltextrun"/>
          <w:rFonts w:asciiTheme="majorHAnsi" w:hAnsiTheme="majorHAnsi" w:cstheme="majorHAnsi"/>
        </w:rPr>
        <w:t xml:space="preserve"> </w:t>
      </w:r>
      <w:r w:rsidR="00C10117">
        <w:rPr>
          <w:rStyle w:val="normaltextrun"/>
          <w:rFonts w:asciiTheme="majorHAnsi" w:hAnsiTheme="majorHAnsi" w:cstheme="majorHAnsi"/>
        </w:rPr>
        <w:t>Beneficial Owners</w:t>
      </w:r>
      <w:r w:rsidR="003E117D" w:rsidRPr="003E117D">
        <w:rPr>
          <w:rStyle w:val="normaltextrun"/>
          <w:rFonts w:asciiTheme="majorHAnsi" w:hAnsiTheme="majorHAnsi" w:cstheme="majorHAnsi"/>
        </w:rPr>
        <w:t xml:space="preserve"> of the Reporting Company, and the Reporting Company </w:t>
      </w:r>
      <w:r>
        <w:rPr>
          <w:rStyle w:val="normaltextrun"/>
          <w:rFonts w:asciiTheme="majorHAnsi" w:hAnsiTheme="majorHAnsi" w:cstheme="majorHAnsi"/>
        </w:rPr>
        <w:t>must</w:t>
      </w:r>
      <w:r w:rsidR="003E117D" w:rsidRPr="003E117D">
        <w:rPr>
          <w:rStyle w:val="normaltextrun"/>
          <w:rFonts w:asciiTheme="majorHAnsi" w:hAnsiTheme="majorHAnsi" w:cstheme="majorHAnsi"/>
        </w:rPr>
        <w:t xml:space="preserve"> apply the Beneficial Owner definition to assess whether any successor is a Beneficial Owner by virtue of the new property interests or rights.</w:t>
      </w:r>
      <w:r w:rsidR="003E117D" w:rsidRPr="003E117D">
        <w:rPr>
          <w:rStyle w:val="eop"/>
          <w:rFonts w:asciiTheme="majorHAnsi" w:hAnsiTheme="majorHAnsi" w:cstheme="majorHAnsi"/>
        </w:rPr>
        <w:t> </w:t>
      </w:r>
    </w:p>
    <w:p w14:paraId="5EF5B895"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13B722BE" w14:textId="2484688B"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 xml:space="preserve">Any inaccuracies must be reported within 30 days of </w:t>
      </w:r>
      <w:r w:rsidR="00D0661D">
        <w:rPr>
          <w:rStyle w:val="normaltextrun"/>
          <w:rFonts w:asciiTheme="majorHAnsi" w:hAnsiTheme="majorHAnsi" w:cstheme="majorHAnsi"/>
        </w:rPr>
        <w:t>the date</w:t>
      </w:r>
      <w:r w:rsidR="00D0661D" w:rsidRPr="003E117D">
        <w:rPr>
          <w:rStyle w:val="normaltextrun"/>
          <w:rFonts w:asciiTheme="majorHAnsi" w:hAnsiTheme="majorHAnsi" w:cstheme="majorHAnsi"/>
        </w:rPr>
        <w:t xml:space="preserve"> </w:t>
      </w:r>
      <w:r w:rsidRPr="003E117D">
        <w:rPr>
          <w:rStyle w:val="normaltextrun"/>
          <w:rFonts w:asciiTheme="majorHAnsi" w:hAnsiTheme="majorHAnsi" w:cstheme="majorHAnsi"/>
        </w:rPr>
        <w:t xml:space="preserve">the Reporting Company becomes aware of the inaccuracy.  </w:t>
      </w:r>
      <w:r w:rsidR="00D0661D">
        <w:rPr>
          <w:rStyle w:val="normaltextrun"/>
          <w:rFonts w:asciiTheme="majorHAnsi" w:hAnsiTheme="majorHAnsi" w:cstheme="majorHAnsi"/>
        </w:rPr>
        <w:t>A</w:t>
      </w:r>
      <w:r w:rsidRPr="003E117D">
        <w:rPr>
          <w:rStyle w:val="normaltextrun"/>
          <w:rFonts w:asciiTheme="majorHAnsi" w:hAnsiTheme="majorHAnsi" w:cstheme="majorHAnsi"/>
        </w:rPr>
        <w:t xml:space="preserve">ny time there is a change in an entity’s ownership, </w:t>
      </w:r>
      <w:r w:rsidR="00D0661D">
        <w:rPr>
          <w:rStyle w:val="normaltextrun"/>
          <w:rFonts w:asciiTheme="majorHAnsi" w:hAnsiTheme="majorHAnsi" w:cstheme="majorHAnsi"/>
        </w:rPr>
        <w:t xml:space="preserve">regardless of </w:t>
      </w:r>
      <w:r w:rsidRPr="003E117D">
        <w:rPr>
          <w:rStyle w:val="normaltextrun"/>
          <w:rFonts w:asciiTheme="majorHAnsi" w:hAnsiTheme="majorHAnsi" w:cstheme="majorHAnsi"/>
        </w:rPr>
        <w:t xml:space="preserve">whether the entity is a Reporting Company prior to </w:t>
      </w:r>
      <w:r w:rsidR="00D0661D">
        <w:rPr>
          <w:rStyle w:val="normaltextrun"/>
          <w:rFonts w:asciiTheme="majorHAnsi" w:hAnsiTheme="majorHAnsi" w:cstheme="majorHAnsi"/>
        </w:rPr>
        <w:t>such</w:t>
      </w:r>
      <w:r w:rsidRPr="003E117D">
        <w:rPr>
          <w:rStyle w:val="normaltextrun"/>
          <w:rFonts w:asciiTheme="majorHAnsi" w:hAnsiTheme="majorHAnsi" w:cstheme="majorHAnsi"/>
        </w:rPr>
        <w:t xml:space="preserve"> change, the entity may be required to file a BOI report or update an existing report.</w:t>
      </w:r>
      <w:r w:rsidRPr="003E117D">
        <w:rPr>
          <w:rStyle w:val="eop"/>
          <w:rFonts w:asciiTheme="majorHAnsi" w:hAnsiTheme="majorHAnsi" w:cstheme="majorHAnsi"/>
        </w:rPr>
        <w:t> </w:t>
      </w:r>
    </w:p>
    <w:p w14:paraId="73BC9B1A"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25972A9C" w14:textId="557E5E1C"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 xml:space="preserve">The Final Rule specifies that </w:t>
      </w:r>
      <w:r w:rsidR="00C10117">
        <w:rPr>
          <w:rStyle w:val="normaltextrun"/>
          <w:rFonts w:asciiTheme="majorHAnsi" w:hAnsiTheme="majorHAnsi" w:cstheme="majorHAnsi"/>
        </w:rPr>
        <w:t>reporting companies</w:t>
      </w:r>
      <w:r w:rsidRPr="003E117D">
        <w:rPr>
          <w:rStyle w:val="normaltextrun"/>
          <w:rFonts w:asciiTheme="majorHAnsi" w:hAnsiTheme="majorHAnsi" w:cstheme="majorHAnsi"/>
        </w:rPr>
        <w:t xml:space="preserve"> need only update information concerning the Reporting Company or its </w:t>
      </w:r>
      <w:r w:rsidR="00C10117">
        <w:rPr>
          <w:rStyle w:val="normaltextrun"/>
          <w:rFonts w:asciiTheme="majorHAnsi" w:hAnsiTheme="majorHAnsi" w:cstheme="majorHAnsi"/>
        </w:rPr>
        <w:t>Beneficial Owners</w:t>
      </w:r>
      <w:r w:rsidR="00D0661D">
        <w:rPr>
          <w:rStyle w:val="normaltextrun"/>
          <w:rFonts w:asciiTheme="majorHAnsi" w:hAnsiTheme="majorHAnsi" w:cstheme="majorHAnsi"/>
        </w:rPr>
        <w:t xml:space="preserve">—not </w:t>
      </w:r>
      <w:r w:rsidRPr="003E117D">
        <w:rPr>
          <w:rStyle w:val="normaltextrun"/>
          <w:rFonts w:asciiTheme="majorHAnsi" w:hAnsiTheme="majorHAnsi" w:cstheme="majorHAnsi"/>
        </w:rPr>
        <w:t xml:space="preserve">Company Applicants. This change in reporting requirements </w:t>
      </w:r>
      <w:r w:rsidRPr="003E117D">
        <w:rPr>
          <w:rStyle w:val="normaltextrun"/>
          <w:rFonts w:asciiTheme="majorHAnsi" w:hAnsiTheme="majorHAnsi" w:cstheme="majorHAnsi"/>
          <w:i/>
          <w:iCs/>
        </w:rPr>
        <w:t>only applies to updated reports</w:t>
      </w:r>
      <w:r w:rsidR="00D0661D">
        <w:rPr>
          <w:rStyle w:val="normaltextrun"/>
          <w:rFonts w:asciiTheme="majorHAnsi" w:hAnsiTheme="majorHAnsi" w:cstheme="majorHAnsi"/>
        </w:rPr>
        <w:t xml:space="preserve">. </w:t>
      </w:r>
      <w:r w:rsidR="00C10117">
        <w:rPr>
          <w:rStyle w:val="normaltextrun"/>
          <w:rFonts w:asciiTheme="majorHAnsi" w:hAnsiTheme="majorHAnsi" w:cstheme="majorHAnsi"/>
        </w:rPr>
        <w:t xml:space="preserve">Reporting </w:t>
      </w:r>
      <w:r w:rsidR="00D0661D">
        <w:rPr>
          <w:rStyle w:val="normaltextrun"/>
          <w:rFonts w:asciiTheme="majorHAnsi" w:hAnsiTheme="majorHAnsi" w:cstheme="majorHAnsi"/>
        </w:rPr>
        <w:t>C</w:t>
      </w:r>
      <w:r w:rsidR="00C10117">
        <w:rPr>
          <w:rStyle w:val="normaltextrun"/>
          <w:rFonts w:asciiTheme="majorHAnsi" w:hAnsiTheme="majorHAnsi" w:cstheme="majorHAnsi"/>
        </w:rPr>
        <w:t>ompanies</w:t>
      </w:r>
      <w:r w:rsidRPr="003E117D">
        <w:rPr>
          <w:rStyle w:val="normaltextrun"/>
          <w:rFonts w:asciiTheme="majorHAnsi" w:hAnsiTheme="majorHAnsi" w:cstheme="majorHAnsi"/>
        </w:rPr>
        <w:t xml:space="preserve"> will still be required to correct any inaccurate information previously reported about their Company Applicants.</w:t>
      </w:r>
      <w:r w:rsidRPr="003E117D">
        <w:rPr>
          <w:rStyle w:val="eop"/>
          <w:rFonts w:asciiTheme="majorHAnsi" w:hAnsiTheme="majorHAnsi" w:cstheme="majorHAnsi"/>
        </w:rPr>
        <w:t> </w:t>
      </w:r>
    </w:p>
    <w:p w14:paraId="334A6762"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486CE3BB"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normaltextrun"/>
          <w:rFonts w:asciiTheme="majorHAnsi" w:hAnsiTheme="majorHAnsi" w:cstheme="majorHAnsi"/>
          <w:b/>
          <w:bCs/>
          <w:i/>
          <w:iCs/>
        </w:rPr>
        <w:t>How to Report</w:t>
      </w:r>
      <w:r w:rsidRPr="003E117D">
        <w:rPr>
          <w:rStyle w:val="eop"/>
          <w:rFonts w:asciiTheme="majorHAnsi" w:hAnsiTheme="majorHAnsi" w:cstheme="majorHAnsi"/>
        </w:rPr>
        <w:t> </w:t>
      </w:r>
    </w:p>
    <w:p w14:paraId="14696191"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29D0A8FB" w14:textId="2E7FBA6E" w:rsidR="003E117D" w:rsidRDefault="003E117D" w:rsidP="003E117D">
      <w:pPr>
        <w:pStyle w:val="paragraph"/>
        <w:spacing w:before="0" w:beforeAutospacing="0" w:after="0" w:afterAutospacing="0"/>
        <w:ind w:firstLine="720"/>
        <w:textAlignment w:val="baseline"/>
        <w:rPr>
          <w:rStyle w:val="eop"/>
          <w:rFonts w:asciiTheme="majorHAnsi" w:hAnsiTheme="majorHAnsi" w:cstheme="majorHAnsi"/>
        </w:rPr>
      </w:pPr>
      <w:r w:rsidRPr="003E117D">
        <w:rPr>
          <w:rStyle w:val="normaltextrun"/>
          <w:rFonts w:asciiTheme="majorHAnsi" w:hAnsiTheme="majorHAnsi" w:cstheme="majorHAnsi"/>
        </w:rPr>
        <w:t xml:space="preserve">FinCEN is developing a </w:t>
      </w:r>
      <w:r w:rsidR="00C10117">
        <w:rPr>
          <w:rStyle w:val="normaltextrun"/>
          <w:rFonts w:asciiTheme="majorHAnsi" w:hAnsiTheme="majorHAnsi" w:cstheme="majorHAnsi"/>
        </w:rPr>
        <w:t>Beneficial Owners</w:t>
      </w:r>
      <w:r w:rsidRPr="003E117D">
        <w:rPr>
          <w:rStyle w:val="normaltextrun"/>
          <w:rFonts w:asciiTheme="majorHAnsi" w:hAnsiTheme="majorHAnsi" w:cstheme="majorHAnsi"/>
        </w:rPr>
        <w:t xml:space="preserve">hip Secure System (BOSS) where the reports will be submitted electronically through an online interface. FinCEN will also publish reporting forms and guidance documents that companies will use to comply with their obligations under the CTA in advance of the date the reports are due. Reports will not be accepted prior to January 1, 2024. </w:t>
      </w:r>
      <w:r w:rsidRPr="003E117D">
        <w:rPr>
          <w:rStyle w:val="eop"/>
          <w:rFonts w:asciiTheme="majorHAnsi" w:hAnsiTheme="majorHAnsi" w:cstheme="majorHAnsi"/>
        </w:rPr>
        <w:t> </w:t>
      </w:r>
    </w:p>
    <w:p w14:paraId="6E494424" w14:textId="77777777" w:rsidR="00E179DC" w:rsidRPr="003E117D" w:rsidRDefault="00E179DC" w:rsidP="00E179DC">
      <w:pPr>
        <w:pStyle w:val="paragraph"/>
        <w:spacing w:before="0" w:beforeAutospacing="0" w:after="0" w:afterAutospacing="0"/>
        <w:textAlignment w:val="baseline"/>
        <w:rPr>
          <w:rFonts w:asciiTheme="majorHAnsi" w:hAnsiTheme="majorHAnsi" w:cstheme="majorHAnsi"/>
        </w:rPr>
      </w:pPr>
    </w:p>
    <w:p w14:paraId="44EF6C97"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normaltextrun"/>
          <w:rFonts w:asciiTheme="majorHAnsi" w:hAnsiTheme="majorHAnsi" w:cstheme="majorHAnsi"/>
          <w:b/>
          <w:bCs/>
        </w:rPr>
        <w:t>WHO HAS ACCESS TO THE INFORMATION I REPORT?  </w:t>
      </w:r>
      <w:r w:rsidRPr="003E117D">
        <w:rPr>
          <w:rStyle w:val="eop"/>
          <w:rFonts w:asciiTheme="majorHAnsi" w:hAnsiTheme="majorHAnsi" w:cstheme="majorHAnsi"/>
        </w:rPr>
        <w:t> </w:t>
      </w:r>
    </w:p>
    <w:p w14:paraId="3025BAAB"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3276F57C" w14:textId="164C0BD2" w:rsidR="003E117D" w:rsidRPr="003E117D" w:rsidRDefault="00D0661D" w:rsidP="00D0661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The information reported to FinCEN will not be accessible to the public and is not subject to Freedom of Information Act requests.</w:t>
      </w:r>
      <w:r>
        <w:rPr>
          <w:rStyle w:val="eop"/>
          <w:rFonts w:asciiTheme="majorHAnsi" w:hAnsiTheme="majorHAnsi" w:cstheme="majorHAnsi"/>
        </w:rPr>
        <w:t xml:space="preserve"> However, </w:t>
      </w:r>
      <w:r>
        <w:rPr>
          <w:rStyle w:val="normaltextrun"/>
          <w:rFonts w:asciiTheme="majorHAnsi" w:hAnsiTheme="majorHAnsi" w:cstheme="majorHAnsi"/>
        </w:rPr>
        <w:t>t</w:t>
      </w:r>
      <w:r w:rsidR="003E117D" w:rsidRPr="003E117D">
        <w:rPr>
          <w:rStyle w:val="normaltextrun"/>
          <w:rFonts w:asciiTheme="majorHAnsi" w:hAnsiTheme="majorHAnsi" w:cstheme="majorHAnsi"/>
        </w:rPr>
        <w:t>he CTA authorizes FinCEN to disclose BOI to:</w:t>
      </w:r>
      <w:r w:rsidR="003E117D" w:rsidRPr="003E117D">
        <w:rPr>
          <w:rStyle w:val="eop"/>
          <w:rFonts w:asciiTheme="majorHAnsi" w:hAnsiTheme="majorHAnsi" w:cstheme="majorHAnsi"/>
        </w:rPr>
        <w:t> </w:t>
      </w:r>
    </w:p>
    <w:p w14:paraId="18B454D7" w14:textId="77777777" w:rsidR="003E117D" w:rsidRPr="003E117D" w:rsidRDefault="003E117D" w:rsidP="003E117D">
      <w:pPr>
        <w:pStyle w:val="paragraph"/>
        <w:numPr>
          <w:ilvl w:val="0"/>
          <w:numId w:val="17"/>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lastRenderedPageBreak/>
        <w:t>U.S. government agencies</w:t>
      </w:r>
      <w:r w:rsidRPr="003E117D">
        <w:rPr>
          <w:rStyle w:val="eop"/>
          <w:rFonts w:asciiTheme="majorHAnsi" w:hAnsiTheme="majorHAnsi" w:cstheme="majorHAnsi"/>
        </w:rPr>
        <w:t> </w:t>
      </w:r>
    </w:p>
    <w:p w14:paraId="592777D2" w14:textId="77777777" w:rsidR="003E117D" w:rsidRPr="003E117D" w:rsidRDefault="003E117D" w:rsidP="003E117D">
      <w:pPr>
        <w:pStyle w:val="paragraph"/>
        <w:numPr>
          <w:ilvl w:val="0"/>
          <w:numId w:val="17"/>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Certain foreign agencies and authorized persons</w:t>
      </w:r>
      <w:r w:rsidRPr="003E117D">
        <w:rPr>
          <w:rStyle w:val="eop"/>
          <w:rFonts w:asciiTheme="majorHAnsi" w:hAnsiTheme="majorHAnsi" w:cstheme="majorHAnsi"/>
        </w:rPr>
        <w:t> </w:t>
      </w:r>
    </w:p>
    <w:p w14:paraId="7E98A9D5" w14:textId="639690EF" w:rsidR="003E117D" w:rsidRPr="00D0661D" w:rsidRDefault="003E117D" w:rsidP="004F12A5">
      <w:pPr>
        <w:pStyle w:val="paragraph"/>
        <w:numPr>
          <w:ilvl w:val="0"/>
          <w:numId w:val="17"/>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Financial institutions using the information for certain K</w:t>
      </w:r>
      <w:r w:rsidR="00D0661D">
        <w:rPr>
          <w:rStyle w:val="normaltextrun"/>
          <w:rFonts w:asciiTheme="majorHAnsi" w:hAnsiTheme="majorHAnsi" w:cstheme="majorHAnsi"/>
        </w:rPr>
        <w:t>now Your Customer</w:t>
      </w:r>
      <w:r w:rsidRPr="003E117D">
        <w:rPr>
          <w:rStyle w:val="normaltextrun"/>
          <w:rFonts w:asciiTheme="majorHAnsi" w:hAnsiTheme="majorHAnsi" w:cstheme="majorHAnsi"/>
        </w:rPr>
        <w:t xml:space="preserve"> </w:t>
      </w:r>
      <w:proofErr w:type="gramStart"/>
      <w:r w:rsidRPr="003E117D">
        <w:rPr>
          <w:rStyle w:val="normaltextrun"/>
          <w:rFonts w:asciiTheme="majorHAnsi" w:hAnsiTheme="majorHAnsi" w:cstheme="majorHAnsi"/>
        </w:rPr>
        <w:t>purposes</w:t>
      </w:r>
      <w:proofErr w:type="gramEnd"/>
      <w:r w:rsidRPr="003E117D">
        <w:rPr>
          <w:rStyle w:val="eop"/>
          <w:rFonts w:asciiTheme="majorHAnsi" w:hAnsiTheme="majorHAnsi" w:cstheme="majorHAnsi"/>
        </w:rPr>
        <w:t> </w:t>
      </w:r>
      <w:r w:rsidRPr="00D0661D">
        <w:rPr>
          <w:rStyle w:val="eop"/>
          <w:rFonts w:asciiTheme="majorHAnsi" w:hAnsiTheme="majorHAnsi" w:cstheme="majorHAnsi"/>
        </w:rPr>
        <w:t> </w:t>
      </w:r>
    </w:p>
    <w:p w14:paraId="55A7E515" w14:textId="6743B842" w:rsidR="003E117D" w:rsidRPr="003E117D" w:rsidRDefault="003E117D" w:rsidP="003E117D">
      <w:pPr>
        <w:pStyle w:val="paragraph"/>
        <w:spacing w:before="0" w:beforeAutospacing="0" w:after="0" w:afterAutospacing="0"/>
        <w:textAlignment w:val="baseline"/>
        <w:rPr>
          <w:rFonts w:asciiTheme="majorHAnsi" w:hAnsiTheme="majorHAnsi" w:cstheme="majorHAnsi"/>
        </w:rPr>
      </w:pPr>
    </w:p>
    <w:p w14:paraId="250C2D66"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The Final Rule provides access to BOI directly from the FinCEN database to three types of U.S. government agencies:</w:t>
      </w:r>
      <w:r w:rsidRPr="003E117D">
        <w:rPr>
          <w:rStyle w:val="eop"/>
          <w:rFonts w:asciiTheme="majorHAnsi" w:hAnsiTheme="majorHAnsi" w:cstheme="majorHAnsi"/>
        </w:rPr>
        <w:t> </w:t>
      </w:r>
    </w:p>
    <w:p w14:paraId="5F366291" w14:textId="2E36CC6D" w:rsidR="003E117D" w:rsidRPr="003E117D" w:rsidRDefault="003E117D" w:rsidP="003E117D">
      <w:pPr>
        <w:pStyle w:val="paragraph"/>
        <w:numPr>
          <w:ilvl w:val="0"/>
          <w:numId w:val="18"/>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Federal agencies engaged in national security, intelligence, and law enforcement </w:t>
      </w:r>
      <w:proofErr w:type="gramStart"/>
      <w:r w:rsidRPr="003E117D">
        <w:rPr>
          <w:rStyle w:val="normaltextrun"/>
          <w:rFonts w:asciiTheme="majorHAnsi" w:hAnsiTheme="majorHAnsi" w:cstheme="majorHAnsi"/>
        </w:rPr>
        <w:t>activity</w:t>
      </w:r>
      <w:proofErr w:type="gramEnd"/>
    </w:p>
    <w:p w14:paraId="44703D93" w14:textId="074D2EF8" w:rsidR="003E117D" w:rsidRPr="003E117D" w:rsidRDefault="003E117D" w:rsidP="003E117D">
      <w:pPr>
        <w:pStyle w:val="paragraph"/>
        <w:numPr>
          <w:ilvl w:val="0"/>
          <w:numId w:val="19"/>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Treasury officials and employees in the course of their official duties, including tax </w:t>
      </w:r>
      <w:proofErr w:type="gramStart"/>
      <w:r w:rsidRPr="003E117D">
        <w:rPr>
          <w:rStyle w:val="normaltextrun"/>
          <w:rFonts w:asciiTheme="majorHAnsi" w:hAnsiTheme="majorHAnsi" w:cstheme="majorHAnsi"/>
        </w:rPr>
        <w:t>administration</w:t>
      </w:r>
      <w:proofErr w:type="gramEnd"/>
      <w:r w:rsidRPr="003E117D">
        <w:rPr>
          <w:rStyle w:val="eop"/>
          <w:rFonts w:asciiTheme="majorHAnsi" w:hAnsiTheme="majorHAnsi" w:cstheme="majorHAnsi"/>
        </w:rPr>
        <w:t> </w:t>
      </w:r>
    </w:p>
    <w:p w14:paraId="20F715A2" w14:textId="77777777" w:rsidR="003E117D" w:rsidRPr="003E117D" w:rsidRDefault="003E117D" w:rsidP="003E117D">
      <w:pPr>
        <w:pStyle w:val="paragraph"/>
        <w:numPr>
          <w:ilvl w:val="0"/>
          <w:numId w:val="19"/>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 xml:space="preserve">State, </w:t>
      </w:r>
      <w:proofErr w:type="gramStart"/>
      <w:r w:rsidRPr="003E117D">
        <w:rPr>
          <w:rStyle w:val="normaltextrun"/>
          <w:rFonts w:asciiTheme="majorHAnsi" w:hAnsiTheme="majorHAnsi" w:cstheme="majorHAnsi"/>
        </w:rPr>
        <w:t>local</w:t>
      </w:r>
      <w:proofErr w:type="gramEnd"/>
      <w:r w:rsidRPr="003E117D">
        <w:rPr>
          <w:rStyle w:val="normaltextrun"/>
          <w:rFonts w:asciiTheme="majorHAnsi" w:hAnsiTheme="majorHAnsi" w:cstheme="majorHAnsi"/>
        </w:rPr>
        <w:t xml:space="preserve"> and Tribal law enforcement agencies in connection with criminal or civil investigations</w:t>
      </w:r>
      <w:r w:rsidRPr="003E117D">
        <w:rPr>
          <w:rStyle w:val="eop"/>
          <w:rFonts w:asciiTheme="majorHAnsi" w:hAnsiTheme="majorHAnsi" w:cstheme="majorHAnsi"/>
        </w:rPr>
        <w:t> </w:t>
      </w:r>
    </w:p>
    <w:p w14:paraId="4205AA8A"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6E6C3CEF"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Federal agencies will need to provide FinCEN with a brief justification for their request, while State, local and Tribal agencies will need to provide a court document authorizing the agency to access the BOI from FinCEN’s database.</w:t>
      </w:r>
      <w:r w:rsidRPr="003E117D">
        <w:rPr>
          <w:rStyle w:val="eop"/>
          <w:rFonts w:asciiTheme="majorHAnsi" w:hAnsiTheme="majorHAnsi" w:cstheme="majorHAnsi"/>
        </w:rPr>
        <w:t> </w:t>
      </w:r>
    </w:p>
    <w:p w14:paraId="496A7DA2" w14:textId="77777777" w:rsidR="003E117D" w:rsidRPr="003E117D" w:rsidRDefault="003E117D" w:rsidP="003E117D">
      <w:pPr>
        <w:pStyle w:val="paragraph"/>
        <w:spacing w:before="0" w:beforeAutospacing="0" w:after="0" w:afterAutospacing="0"/>
        <w:ind w:firstLine="360"/>
        <w:textAlignment w:val="baseline"/>
        <w:rPr>
          <w:rFonts w:asciiTheme="majorHAnsi" w:hAnsiTheme="majorHAnsi" w:cstheme="majorHAnsi"/>
        </w:rPr>
      </w:pPr>
      <w:r w:rsidRPr="003E117D">
        <w:rPr>
          <w:rStyle w:val="eop"/>
          <w:rFonts w:asciiTheme="majorHAnsi" w:hAnsiTheme="majorHAnsi" w:cstheme="majorHAnsi"/>
        </w:rPr>
        <w:t> </w:t>
      </w:r>
    </w:p>
    <w:p w14:paraId="15627D68" w14:textId="0A4FFE8F"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rPr>
        <w:t xml:space="preserve">Foreign law enforcement agencies, judges, prosecutors, central </w:t>
      </w:r>
      <w:proofErr w:type="gramStart"/>
      <w:r w:rsidRPr="003E117D">
        <w:rPr>
          <w:rStyle w:val="normaltextrun"/>
          <w:rFonts w:asciiTheme="majorHAnsi" w:hAnsiTheme="majorHAnsi" w:cstheme="majorHAnsi"/>
        </w:rPr>
        <w:t>authorities</w:t>
      </w:r>
      <w:proofErr w:type="gramEnd"/>
      <w:r w:rsidRPr="003E117D">
        <w:rPr>
          <w:rStyle w:val="normaltextrun"/>
          <w:rFonts w:asciiTheme="majorHAnsi" w:hAnsiTheme="majorHAnsi" w:cstheme="majorHAnsi"/>
        </w:rPr>
        <w:t xml:space="preserve"> and competent authorities will not have direct access to FinCEN’s BOI database. </w:t>
      </w:r>
      <w:r w:rsidR="00D0661D">
        <w:rPr>
          <w:rStyle w:val="normaltextrun"/>
          <w:rFonts w:asciiTheme="majorHAnsi" w:hAnsiTheme="majorHAnsi" w:cstheme="majorHAnsi"/>
        </w:rPr>
        <w:t>A</w:t>
      </w:r>
      <w:r w:rsidRPr="003E117D">
        <w:rPr>
          <w:rStyle w:val="normaltextrun"/>
          <w:rFonts w:asciiTheme="majorHAnsi" w:hAnsiTheme="majorHAnsi" w:cstheme="majorHAnsi"/>
        </w:rPr>
        <w:t xml:space="preserve">uthorized foreign requestors </w:t>
      </w:r>
      <w:r w:rsidR="00D0661D">
        <w:rPr>
          <w:rStyle w:val="normaltextrun"/>
          <w:rFonts w:asciiTheme="majorHAnsi" w:hAnsiTheme="majorHAnsi" w:cstheme="majorHAnsi"/>
        </w:rPr>
        <w:t xml:space="preserve">must </w:t>
      </w:r>
      <w:r w:rsidRPr="003E117D">
        <w:rPr>
          <w:rStyle w:val="normaltextrun"/>
          <w:rFonts w:asciiTheme="majorHAnsi" w:hAnsiTheme="majorHAnsi" w:cstheme="majorHAnsi"/>
        </w:rPr>
        <w:t>submit a request to a federal agency to act as an intermediary to retrieve the BOI information from FinCEN’s database. The federal agency may only provide BOI to a foreign requestor in response to a request for assistance in an investigation or prosecution by such foreign country where there is an applicable treaty or similar international agreement. The foreign requestor must limit the use of the BOI in a manner consistent with the treaty or similar agreement under which the request was made.</w:t>
      </w:r>
      <w:r w:rsidRPr="003E117D">
        <w:rPr>
          <w:rStyle w:val="eop"/>
          <w:rFonts w:asciiTheme="majorHAnsi" w:hAnsiTheme="majorHAnsi" w:cstheme="majorHAnsi"/>
        </w:rPr>
        <w:t> </w:t>
      </w:r>
    </w:p>
    <w:p w14:paraId="7E71B22E"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6ACD7FC7" w14:textId="15C998FB" w:rsidR="003E117D" w:rsidRDefault="003E117D" w:rsidP="003E117D">
      <w:pPr>
        <w:pStyle w:val="paragraph"/>
        <w:spacing w:before="0" w:beforeAutospacing="0" w:after="0" w:afterAutospacing="0"/>
        <w:textAlignment w:val="baseline"/>
        <w:rPr>
          <w:rStyle w:val="eop"/>
          <w:rFonts w:asciiTheme="majorHAnsi" w:hAnsiTheme="majorHAnsi" w:cstheme="majorHAnsi"/>
        </w:rPr>
      </w:pPr>
      <w:r w:rsidRPr="003E117D">
        <w:rPr>
          <w:rStyle w:val="normaltextrun"/>
          <w:rFonts w:asciiTheme="majorHAnsi" w:hAnsiTheme="majorHAnsi" w:cstheme="majorHAnsi"/>
          <w:b/>
          <w:bCs/>
        </w:rPr>
        <w:t>COMPLIANCE AND VIOLATIONS</w:t>
      </w:r>
      <w:r w:rsidRPr="003E117D">
        <w:rPr>
          <w:rStyle w:val="eop"/>
          <w:rFonts w:asciiTheme="majorHAnsi" w:hAnsiTheme="majorHAnsi" w:cstheme="majorHAnsi"/>
        </w:rPr>
        <w:t> </w:t>
      </w:r>
    </w:p>
    <w:p w14:paraId="71FE7F4A" w14:textId="77777777" w:rsidR="00E179DC" w:rsidRPr="003E117D" w:rsidRDefault="00E179DC" w:rsidP="003E117D">
      <w:pPr>
        <w:pStyle w:val="paragraph"/>
        <w:spacing w:before="0" w:beforeAutospacing="0" w:after="0" w:afterAutospacing="0"/>
        <w:textAlignment w:val="baseline"/>
        <w:rPr>
          <w:rFonts w:asciiTheme="majorHAnsi" w:hAnsiTheme="majorHAnsi" w:cstheme="majorHAnsi"/>
        </w:rPr>
      </w:pPr>
    </w:p>
    <w:p w14:paraId="3603B4D0" w14:textId="09AB5D1D" w:rsidR="00E179DC" w:rsidRDefault="003E117D" w:rsidP="003E117D">
      <w:pPr>
        <w:pStyle w:val="paragraph"/>
        <w:spacing w:before="0" w:beforeAutospacing="0" w:after="0" w:afterAutospacing="0"/>
        <w:ind w:firstLine="720"/>
        <w:textAlignment w:val="baseline"/>
        <w:rPr>
          <w:rStyle w:val="normaltextrun"/>
          <w:rFonts w:asciiTheme="majorHAnsi" w:hAnsiTheme="majorHAnsi" w:cstheme="majorHAnsi"/>
        </w:rPr>
      </w:pPr>
      <w:r w:rsidRPr="003E117D">
        <w:rPr>
          <w:rStyle w:val="normaltextrun"/>
          <w:rFonts w:asciiTheme="majorHAnsi" w:hAnsiTheme="majorHAnsi" w:cstheme="majorHAnsi"/>
        </w:rPr>
        <w:t xml:space="preserve">The CTA </w:t>
      </w:r>
      <w:r w:rsidR="00D0661D">
        <w:rPr>
          <w:rStyle w:val="normaltextrun"/>
          <w:rFonts w:asciiTheme="majorHAnsi" w:hAnsiTheme="majorHAnsi" w:cstheme="majorHAnsi"/>
        </w:rPr>
        <w:t xml:space="preserve">provides for both civil and criminal </w:t>
      </w:r>
      <w:r w:rsidRPr="003E117D">
        <w:rPr>
          <w:rStyle w:val="normaltextrun"/>
          <w:rFonts w:asciiTheme="majorHAnsi" w:hAnsiTheme="majorHAnsi" w:cstheme="majorHAnsi"/>
        </w:rPr>
        <w:t xml:space="preserve">penalties for non-compliance.  Any person who provides false information, or fails to report complete or updated information, is subject to a civil penalty of not more than $500 for each day that the violation continues, and may face fines not more than $10,000, imprisonment for not more than two years, or both. </w:t>
      </w:r>
      <w:r w:rsidR="00D0661D">
        <w:rPr>
          <w:rStyle w:val="normaltextrun"/>
          <w:rFonts w:asciiTheme="majorHAnsi" w:hAnsiTheme="majorHAnsi" w:cstheme="majorHAnsi"/>
        </w:rPr>
        <w:t xml:space="preserve">A </w:t>
      </w:r>
      <w:r w:rsidRPr="003E117D">
        <w:rPr>
          <w:rStyle w:val="normaltextrun"/>
          <w:rFonts w:asciiTheme="majorHAnsi" w:hAnsiTheme="majorHAnsi" w:cstheme="majorHAnsi"/>
        </w:rPr>
        <w:t xml:space="preserve">person is </w:t>
      </w:r>
      <w:r w:rsidR="00D0661D">
        <w:rPr>
          <w:rStyle w:val="normaltextrun"/>
          <w:rFonts w:asciiTheme="majorHAnsi" w:hAnsiTheme="majorHAnsi" w:cstheme="majorHAnsi"/>
        </w:rPr>
        <w:t xml:space="preserve">also </w:t>
      </w:r>
      <w:r w:rsidRPr="003E117D">
        <w:rPr>
          <w:rStyle w:val="normaltextrun"/>
          <w:rFonts w:asciiTheme="majorHAnsi" w:hAnsiTheme="majorHAnsi" w:cstheme="majorHAnsi"/>
        </w:rPr>
        <w:t xml:space="preserve">subject to penalties </w:t>
      </w:r>
      <w:r w:rsidR="00D0661D">
        <w:rPr>
          <w:rStyle w:val="normaltextrun"/>
          <w:rFonts w:asciiTheme="majorHAnsi" w:hAnsiTheme="majorHAnsi" w:cstheme="majorHAnsi"/>
        </w:rPr>
        <w:t>for</w:t>
      </w:r>
      <w:r w:rsidRPr="003E117D">
        <w:rPr>
          <w:rStyle w:val="normaltextrun"/>
          <w:rFonts w:asciiTheme="majorHAnsi" w:hAnsiTheme="majorHAnsi" w:cstheme="majorHAnsi"/>
        </w:rPr>
        <w:t xml:space="preserve"> willfully providing, or attempting to provide, false or fraudulent </w:t>
      </w:r>
      <w:r w:rsidR="00E179DC">
        <w:rPr>
          <w:rStyle w:val="normaltextrun"/>
          <w:rFonts w:asciiTheme="majorHAnsi" w:hAnsiTheme="majorHAnsi" w:cstheme="majorHAnsi"/>
        </w:rPr>
        <w:t>B</w:t>
      </w:r>
      <w:r w:rsidRPr="003E117D">
        <w:rPr>
          <w:rStyle w:val="normaltextrun"/>
          <w:rFonts w:asciiTheme="majorHAnsi" w:hAnsiTheme="majorHAnsi" w:cstheme="majorHAnsi"/>
        </w:rPr>
        <w:t xml:space="preserve">eneficial </w:t>
      </w:r>
      <w:r w:rsidR="00E179DC">
        <w:rPr>
          <w:rStyle w:val="normaltextrun"/>
          <w:rFonts w:asciiTheme="majorHAnsi" w:hAnsiTheme="majorHAnsi" w:cstheme="majorHAnsi"/>
        </w:rPr>
        <w:t>O</w:t>
      </w:r>
      <w:r w:rsidRPr="003E117D">
        <w:rPr>
          <w:rStyle w:val="normaltextrun"/>
          <w:rFonts w:asciiTheme="majorHAnsi" w:hAnsiTheme="majorHAnsi" w:cstheme="majorHAnsi"/>
        </w:rPr>
        <w:t>wner information.</w:t>
      </w:r>
    </w:p>
    <w:p w14:paraId="71E6DA22" w14:textId="77777777" w:rsidR="00E179DC" w:rsidRDefault="00E179DC" w:rsidP="003E117D">
      <w:pPr>
        <w:pStyle w:val="paragraph"/>
        <w:spacing w:before="0" w:beforeAutospacing="0" w:after="0" w:afterAutospacing="0"/>
        <w:ind w:firstLine="720"/>
        <w:textAlignment w:val="baseline"/>
        <w:rPr>
          <w:rStyle w:val="normaltextrun"/>
          <w:rFonts w:asciiTheme="majorHAnsi" w:hAnsiTheme="majorHAnsi" w:cstheme="majorHAnsi"/>
        </w:rPr>
      </w:pPr>
    </w:p>
    <w:p w14:paraId="68ABD2E0" w14:textId="404B3CB1" w:rsidR="003E117D" w:rsidRDefault="003E117D" w:rsidP="003E117D">
      <w:pPr>
        <w:pStyle w:val="paragraph"/>
        <w:spacing w:before="0" w:beforeAutospacing="0" w:after="0" w:afterAutospacing="0"/>
        <w:ind w:firstLine="720"/>
        <w:textAlignment w:val="baseline"/>
        <w:rPr>
          <w:rStyle w:val="eop"/>
          <w:rFonts w:asciiTheme="majorHAnsi" w:hAnsiTheme="majorHAnsi" w:cstheme="majorHAnsi"/>
        </w:rPr>
      </w:pPr>
      <w:r w:rsidRPr="003E117D">
        <w:rPr>
          <w:rStyle w:val="normaltextrun"/>
          <w:rFonts w:asciiTheme="majorHAnsi" w:hAnsiTheme="majorHAnsi" w:cstheme="majorHAnsi"/>
        </w:rPr>
        <w:t xml:space="preserve"> There are exceptions for mistakes made in good faith. If a company is unable to prove a good faith mistake and FinCEN finds the inaccurate reporting was intentional, there is a penalty of $500 a day, up to $10,000, and possible imprisonment for up to two years. In cases where inaccuracies are due to reasonable cause and not willful negligence, the penalty may be waived with the permission of the Secretary of the Treasury.</w:t>
      </w:r>
      <w:r w:rsidRPr="003E117D">
        <w:rPr>
          <w:rStyle w:val="eop"/>
          <w:rFonts w:asciiTheme="majorHAnsi" w:hAnsiTheme="majorHAnsi" w:cstheme="majorHAnsi"/>
        </w:rPr>
        <w:t> </w:t>
      </w:r>
    </w:p>
    <w:p w14:paraId="21643356" w14:textId="77777777" w:rsidR="00E179DC" w:rsidRPr="003E117D" w:rsidRDefault="00E179DC" w:rsidP="003E117D">
      <w:pPr>
        <w:pStyle w:val="paragraph"/>
        <w:spacing w:before="0" w:beforeAutospacing="0" w:after="0" w:afterAutospacing="0"/>
        <w:ind w:firstLine="720"/>
        <w:textAlignment w:val="baseline"/>
        <w:rPr>
          <w:rFonts w:asciiTheme="majorHAnsi" w:hAnsiTheme="majorHAnsi" w:cstheme="majorHAnsi"/>
        </w:rPr>
      </w:pPr>
    </w:p>
    <w:p w14:paraId="7F557EA4" w14:textId="7A07D3F3" w:rsidR="00E179DC" w:rsidRDefault="003E117D" w:rsidP="00E179DC">
      <w:pPr>
        <w:pStyle w:val="paragraph"/>
        <w:spacing w:before="0" w:beforeAutospacing="0" w:after="0" w:afterAutospacing="0"/>
        <w:ind w:firstLine="720"/>
        <w:textAlignment w:val="baseline"/>
        <w:rPr>
          <w:rStyle w:val="eop"/>
          <w:rFonts w:asciiTheme="majorHAnsi" w:hAnsiTheme="majorHAnsi" w:cstheme="majorHAnsi"/>
        </w:rPr>
      </w:pPr>
      <w:r w:rsidRPr="003E117D">
        <w:rPr>
          <w:rStyle w:val="normaltextrun"/>
          <w:rFonts w:asciiTheme="majorHAnsi" w:hAnsiTheme="majorHAnsi" w:cstheme="majorHAnsi"/>
        </w:rPr>
        <w:lastRenderedPageBreak/>
        <w:t xml:space="preserve">With respect to compliance, FinCEN intends to prioritize education and outreach to ensure that all </w:t>
      </w:r>
      <w:r w:rsidR="00C10117">
        <w:rPr>
          <w:rStyle w:val="normaltextrun"/>
          <w:rFonts w:asciiTheme="majorHAnsi" w:hAnsiTheme="majorHAnsi" w:cstheme="majorHAnsi"/>
        </w:rPr>
        <w:t>reporting companies</w:t>
      </w:r>
      <w:r w:rsidRPr="003E117D">
        <w:rPr>
          <w:rStyle w:val="normaltextrun"/>
          <w:rFonts w:asciiTheme="majorHAnsi" w:hAnsiTheme="majorHAnsi" w:cstheme="majorHAnsi"/>
        </w:rPr>
        <w:t xml:space="preserve"> and individuals are aware of and on notice regarding their reporting obligations. </w:t>
      </w:r>
      <w:r w:rsidRPr="003E117D">
        <w:rPr>
          <w:rStyle w:val="eop"/>
          <w:rFonts w:asciiTheme="majorHAnsi" w:hAnsiTheme="majorHAnsi" w:cstheme="majorHAnsi"/>
        </w:rPr>
        <w:t> </w:t>
      </w:r>
    </w:p>
    <w:p w14:paraId="195B15C1" w14:textId="77777777" w:rsidR="003B17CB" w:rsidRPr="003E117D" w:rsidRDefault="003B17CB" w:rsidP="00E179DC">
      <w:pPr>
        <w:pStyle w:val="paragraph"/>
        <w:spacing w:before="0" w:beforeAutospacing="0" w:after="0" w:afterAutospacing="0"/>
        <w:ind w:firstLine="720"/>
        <w:textAlignment w:val="baseline"/>
        <w:rPr>
          <w:rFonts w:asciiTheme="majorHAnsi" w:hAnsiTheme="majorHAnsi" w:cstheme="majorHAnsi"/>
        </w:rPr>
      </w:pPr>
    </w:p>
    <w:p w14:paraId="1AC7D6FA" w14:textId="050045B0"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normaltextrun"/>
          <w:rFonts w:asciiTheme="majorHAnsi" w:hAnsiTheme="majorHAnsi" w:cstheme="majorHAnsi"/>
          <w:u w:val="single"/>
        </w:rPr>
        <w:t>31 U.S.C. 5336(h)(3)(C)</w:t>
      </w:r>
      <w:r w:rsidRPr="003E117D">
        <w:rPr>
          <w:rStyle w:val="normaltextrun"/>
          <w:rFonts w:asciiTheme="majorHAnsi" w:hAnsiTheme="majorHAnsi" w:cstheme="majorHAnsi"/>
        </w:rPr>
        <w:t xml:space="preserve"> provides a safe harbor to any person that has reason to believe that any report </w:t>
      </w:r>
      <w:r w:rsidR="003B17CB">
        <w:rPr>
          <w:rStyle w:val="normaltextrun"/>
          <w:rFonts w:asciiTheme="majorHAnsi" w:hAnsiTheme="majorHAnsi" w:cstheme="majorHAnsi"/>
        </w:rPr>
        <w:t xml:space="preserve">he/she </w:t>
      </w:r>
      <w:r w:rsidRPr="003E117D">
        <w:rPr>
          <w:rStyle w:val="normaltextrun"/>
          <w:rFonts w:asciiTheme="majorHAnsi" w:hAnsiTheme="majorHAnsi" w:cstheme="majorHAnsi"/>
        </w:rPr>
        <w:t xml:space="preserve">submitted contains inaccurate information and voluntarily and promptly, and consistent with FinCEN regulations, submits a report containing corrected information </w:t>
      </w:r>
      <w:r w:rsidR="003B17CB">
        <w:rPr>
          <w:rStyle w:val="normaltextrun"/>
          <w:rFonts w:asciiTheme="majorHAnsi" w:hAnsiTheme="majorHAnsi" w:cstheme="majorHAnsi"/>
        </w:rPr>
        <w:t>within</w:t>
      </w:r>
      <w:r w:rsidRPr="003E117D">
        <w:rPr>
          <w:rStyle w:val="normaltextrun"/>
          <w:rFonts w:asciiTheme="majorHAnsi" w:hAnsiTheme="majorHAnsi" w:cstheme="majorHAnsi"/>
        </w:rPr>
        <w:t xml:space="preserve"> 90 days </w:t>
      </w:r>
      <w:r w:rsidR="003B17CB">
        <w:rPr>
          <w:rStyle w:val="normaltextrun"/>
          <w:rFonts w:asciiTheme="majorHAnsi" w:hAnsiTheme="majorHAnsi" w:cstheme="majorHAnsi"/>
        </w:rPr>
        <w:t>of the</w:t>
      </w:r>
      <w:r w:rsidRPr="003E117D">
        <w:rPr>
          <w:rStyle w:val="normaltextrun"/>
          <w:rFonts w:asciiTheme="majorHAnsi" w:hAnsiTheme="majorHAnsi" w:cstheme="majorHAnsi"/>
        </w:rPr>
        <w:t xml:space="preserve"> </w:t>
      </w:r>
      <w:r w:rsidR="003B17CB" w:rsidRPr="003E117D">
        <w:rPr>
          <w:rStyle w:val="normaltextrun"/>
          <w:rFonts w:asciiTheme="majorHAnsi" w:hAnsiTheme="majorHAnsi" w:cstheme="majorHAnsi"/>
        </w:rPr>
        <w:t>submi</w:t>
      </w:r>
      <w:r w:rsidR="003B17CB">
        <w:rPr>
          <w:rStyle w:val="normaltextrun"/>
          <w:rFonts w:asciiTheme="majorHAnsi" w:hAnsiTheme="majorHAnsi" w:cstheme="majorHAnsi"/>
        </w:rPr>
        <w:t>ssion of</w:t>
      </w:r>
      <w:r w:rsidR="003B17CB" w:rsidRPr="003E117D">
        <w:rPr>
          <w:rStyle w:val="normaltextrun"/>
          <w:rFonts w:asciiTheme="majorHAnsi" w:hAnsiTheme="majorHAnsi" w:cstheme="majorHAnsi"/>
        </w:rPr>
        <w:t xml:space="preserve"> </w:t>
      </w:r>
      <w:r w:rsidRPr="003E117D">
        <w:rPr>
          <w:rStyle w:val="normaltextrun"/>
          <w:rFonts w:asciiTheme="majorHAnsi" w:hAnsiTheme="majorHAnsi" w:cstheme="majorHAnsi"/>
        </w:rPr>
        <w:t xml:space="preserve">the inaccurate report. </w:t>
      </w:r>
      <w:r w:rsidR="003B17CB">
        <w:rPr>
          <w:rStyle w:val="normaltextrun"/>
          <w:rFonts w:asciiTheme="majorHAnsi" w:hAnsiTheme="majorHAnsi" w:cstheme="majorHAnsi"/>
        </w:rPr>
        <w:t>The</w:t>
      </w:r>
      <w:r w:rsidRPr="003E117D">
        <w:rPr>
          <w:rStyle w:val="normaltextrun"/>
          <w:rFonts w:asciiTheme="majorHAnsi" w:hAnsiTheme="majorHAnsi" w:cstheme="majorHAnsi"/>
        </w:rPr>
        <w:t xml:space="preserve"> safe harbor does not extend to reports corrected more than 90 days after they are filed, even if a Reporting Company files a correction promptly after becoming aware or having reason to know that a correction is needed. In addition, the Final Rule does not adopt a good faith or other standard regarding the requirements to update or correct reports. The CTA places the reporting responsibility on </w:t>
      </w:r>
      <w:r w:rsidR="003B17CB">
        <w:rPr>
          <w:rStyle w:val="normaltextrun"/>
          <w:rFonts w:asciiTheme="majorHAnsi" w:hAnsiTheme="majorHAnsi" w:cstheme="majorHAnsi"/>
        </w:rPr>
        <w:t>R</w:t>
      </w:r>
      <w:r w:rsidR="00C10117">
        <w:rPr>
          <w:rStyle w:val="normaltextrun"/>
          <w:rFonts w:asciiTheme="majorHAnsi" w:hAnsiTheme="majorHAnsi" w:cstheme="majorHAnsi"/>
        </w:rPr>
        <w:t xml:space="preserve">eporting </w:t>
      </w:r>
      <w:r w:rsidR="003B17CB">
        <w:rPr>
          <w:rStyle w:val="normaltextrun"/>
          <w:rFonts w:asciiTheme="majorHAnsi" w:hAnsiTheme="majorHAnsi" w:cstheme="majorHAnsi"/>
        </w:rPr>
        <w:t>C</w:t>
      </w:r>
      <w:r w:rsidR="00C10117">
        <w:rPr>
          <w:rStyle w:val="normaltextrun"/>
          <w:rFonts w:asciiTheme="majorHAnsi" w:hAnsiTheme="majorHAnsi" w:cstheme="majorHAnsi"/>
        </w:rPr>
        <w:t>ompanies</w:t>
      </w:r>
      <w:r w:rsidRPr="003E117D">
        <w:rPr>
          <w:rStyle w:val="normaltextrun"/>
          <w:rFonts w:asciiTheme="majorHAnsi" w:hAnsiTheme="majorHAnsi" w:cstheme="majorHAnsi"/>
        </w:rPr>
        <w:t>, and this responsibility includes the obligation to report accurately.</w:t>
      </w:r>
      <w:r w:rsidRPr="003E117D">
        <w:rPr>
          <w:rStyle w:val="eop"/>
          <w:rFonts w:asciiTheme="majorHAnsi" w:hAnsiTheme="majorHAnsi" w:cstheme="majorHAnsi"/>
        </w:rPr>
        <w:t> </w:t>
      </w:r>
    </w:p>
    <w:p w14:paraId="28E5781C" w14:textId="23AF9784" w:rsidR="003E117D" w:rsidRPr="003E117D" w:rsidRDefault="003E117D" w:rsidP="00E179DC">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063D9853" w14:textId="2254595A" w:rsidR="003E117D" w:rsidRDefault="003E117D" w:rsidP="003E117D">
      <w:pPr>
        <w:pStyle w:val="paragraph"/>
        <w:spacing w:before="0" w:beforeAutospacing="0" w:after="0" w:afterAutospacing="0"/>
        <w:textAlignment w:val="baseline"/>
        <w:rPr>
          <w:rStyle w:val="eop"/>
          <w:rFonts w:asciiTheme="majorHAnsi" w:hAnsiTheme="majorHAnsi" w:cstheme="majorHAnsi"/>
        </w:rPr>
      </w:pPr>
      <w:r w:rsidRPr="003E117D">
        <w:rPr>
          <w:rStyle w:val="normaltextrun"/>
          <w:rFonts w:asciiTheme="majorHAnsi" w:hAnsiTheme="majorHAnsi" w:cstheme="majorHAnsi"/>
          <w:b/>
          <w:bCs/>
        </w:rPr>
        <w:t>STEPS BUSINESS OWNERS AND COMPANIES SHOULD TAKE NOW:</w:t>
      </w:r>
      <w:r w:rsidRPr="003E117D">
        <w:rPr>
          <w:rStyle w:val="eop"/>
          <w:rFonts w:asciiTheme="majorHAnsi" w:hAnsiTheme="majorHAnsi" w:cstheme="majorHAnsi"/>
        </w:rPr>
        <w:t> </w:t>
      </w:r>
    </w:p>
    <w:p w14:paraId="18F4A697" w14:textId="77777777" w:rsidR="00E179DC" w:rsidRPr="003E117D" w:rsidRDefault="00E179DC" w:rsidP="003E117D">
      <w:pPr>
        <w:pStyle w:val="paragraph"/>
        <w:spacing w:before="0" w:beforeAutospacing="0" w:after="0" w:afterAutospacing="0"/>
        <w:textAlignment w:val="baseline"/>
        <w:rPr>
          <w:rFonts w:asciiTheme="majorHAnsi" w:hAnsiTheme="majorHAnsi" w:cstheme="majorHAnsi"/>
        </w:rPr>
      </w:pPr>
    </w:p>
    <w:p w14:paraId="04096CF1" w14:textId="7CA7C0F9" w:rsidR="003E117D" w:rsidRPr="003E117D" w:rsidRDefault="003E117D" w:rsidP="003E117D">
      <w:pPr>
        <w:pStyle w:val="paragraph"/>
        <w:numPr>
          <w:ilvl w:val="0"/>
          <w:numId w:val="20"/>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Determine if the company is a “Reporting Company” and begin developing a list of all entities in which you own a controlling interest</w:t>
      </w:r>
      <w:r w:rsidR="00E179DC">
        <w:rPr>
          <w:rStyle w:val="normaltextrun"/>
          <w:rFonts w:asciiTheme="majorHAnsi" w:hAnsiTheme="majorHAnsi" w:cstheme="majorHAnsi"/>
        </w:rPr>
        <w:t>.</w:t>
      </w:r>
      <w:r w:rsidRPr="003E117D">
        <w:rPr>
          <w:rStyle w:val="eop"/>
          <w:rFonts w:asciiTheme="majorHAnsi" w:hAnsiTheme="majorHAnsi" w:cstheme="majorHAnsi"/>
        </w:rPr>
        <w:t> </w:t>
      </w:r>
    </w:p>
    <w:p w14:paraId="78A50348" w14:textId="4AA313A8" w:rsidR="003E117D" w:rsidRPr="003E117D" w:rsidRDefault="003E117D" w:rsidP="003E117D">
      <w:pPr>
        <w:pStyle w:val="paragraph"/>
        <w:numPr>
          <w:ilvl w:val="0"/>
          <w:numId w:val="21"/>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Determine if an exemption applies</w:t>
      </w:r>
      <w:r w:rsidR="00E179DC">
        <w:rPr>
          <w:rStyle w:val="normaltextrun"/>
          <w:rFonts w:asciiTheme="majorHAnsi" w:hAnsiTheme="majorHAnsi" w:cstheme="majorHAnsi"/>
        </w:rPr>
        <w:t>.</w:t>
      </w:r>
      <w:r w:rsidRPr="003E117D">
        <w:rPr>
          <w:rStyle w:val="eop"/>
          <w:rFonts w:asciiTheme="majorHAnsi" w:hAnsiTheme="majorHAnsi" w:cstheme="majorHAnsi"/>
        </w:rPr>
        <w:t> </w:t>
      </w:r>
    </w:p>
    <w:p w14:paraId="6D7BE806" w14:textId="77777777" w:rsidR="003E117D" w:rsidRPr="003E117D" w:rsidRDefault="003E117D" w:rsidP="003E117D">
      <w:pPr>
        <w:pStyle w:val="paragraph"/>
        <w:numPr>
          <w:ilvl w:val="0"/>
          <w:numId w:val="22"/>
        </w:numPr>
        <w:spacing w:before="0" w:beforeAutospacing="0" w:after="0" w:afterAutospacing="0"/>
        <w:ind w:left="1080" w:firstLine="0"/>
        <w:textAlignment w:val="baseline"/>
        <w:rPr>
          <w:rFonts w:asciiTheme="majorHAnsi" w:hAnsiTheme="majorHAnsi" w:cstheme="majorHAnsi"/>
        </w:rPr>
      </w:pPr>
      <w:r w:rsidRPr="003E117D">
        <w:rPr>
          <w:rStyle w:val="normaltextrun"/>
          <w:rFonts w:asciiTheme="majorHAnsi" w:hAnsiTheme="majorHAnsi" w:cstheme="majorHAnsi"/>
        </w:rPr>
        <w:t>If it is a “Reporting Company”</w:t>
      </w:r>
      <w:r w:rsidRPr="003E117D">
        <w:rPr>
          <w:rStyle w:val="eop"/>
          <w:rFonts w:asciiTheme="majorHAnsi" w:hAnsiTheme="majorHAnsi" w:cstheme="majorHAnsi"/>
        </w:rPr>
        <w:t> </w:t>
      </w:r>
    </w:p>
    <w:p w14:paraId="45812C95" w14:textId="4BAEBBCE" w:rsidR="003E117D" w:rsidRPr="003E117D" w:rsidRDefault="003E117D" w:rsidP="003E117D">
      <w:pPr>
        <w:pStyle w:val="paragraph"/>
        <w:numPr>
          <w:ilvl w:val="0"/>
          <w:numId w:val="23"/>
        </w:numPr>
        <w:spacing w:before="0" w:beforeAutospacing="0" w:after="0" w:afterAutospacing="0"/>
        <w:ind w:left="1800" w:firstLine="0"/>
        <w:textAlignment w:val="baseline"/>
        <w:rPr>
          <w:rFonts w:asciiTheme="majorHAnsi" w:hAnsiTheme="majorHAnsi" w:cstheme="majorHAnsi"/>
        </w:rPr>
      </w:pPr>
      <w:r w:rsidRPr="003E117D">
        <w:rPr>
          <w:rStyle w:val="normaltextrun"/>
          <w:rFonts w:asciiTheme="majorHAnsi" w:hAnsiTheme="majorHAnsi" w:cstheme="majorHAnsi"/>
        </w:rPr>
        <w:t xml:space="preserve">Begin compiling a list of all and any potential </w:t>
      </w:r>
      <w:r w:rsidR="00C10117">
        <w:rPr>
          <w:rStyle w:val="normaltextrun"/>
          <w:rFonts w:asciiTheme="majorHAnsi" w:hAnsiTheme="majorHAnsi" w:cstheme="majorHAnsi"/>
        </w:rPr>
        <w:t>Beneficial Owners</w:t>
      </w:r>
      <w:r w:rsidRPr="003E117D">
        <w:rPr>
          <w:rStyle w:val="normaltextrun"/>
          <w:rFonts w:asciiTheme="majorHAnsi" w:hAnsiTheme="majorHAnsi" w:cstheme="majorHAnsi"/>
        </w:rPr>
        <w:t xml:space="preserve"> and their required </w:t>
      </w:r>
      <w:proofErr w:type="gramStart"/>
      <w:r w:rsidRPr="003E117D">
        <w:rPr>
          <w:rStyle w:val="normaltextrun"/>
          <w:rFonts w:asciiTheme="majorHAnsi" w:hAnsiTheme="majorHAnsi" w:cstheme="majorHAnsi"/>
        </w:rPr>
        <w:t>information;</w:t>
      </w:r>
      <w:proofErr w:type="gramEnd"/>
      <w:r w:rsidRPr="003E117D">
        <w:rPr>
          <w:rStyle w:val="eop"/>
          <w:rFonts w:asciiTheme="majorHAnsi" w:hAnsiTheme="majorHAnsi" w:cstheme="majorHAnsi"/>
        </w:rPr>
        <w:t> </w:t>
      </w:r>
    </w:p>
    <w:p w14:paraId="07983A75" w14:textId="70A9C1CB" w:rsidR="003E117D" w:rsidRPr="003E117D" w:rsidRDefault="003E117D" w:rsidP="003E117D">
      <w:pPr>
        <w:pStyle w:val="paragraph"/>
        <w:numPr>
          <w:ilvl w:val="0"/>
          <w:numId w:val="24"/>
        </w:numPr>
        <w:spacing w:before="0" w:beforeAutospacing="0" w:after="0" w:afterAutospacing="0"/>
        <w:ind w:left="1800" w:firstLine="0"/>
        <w:textAlignment w:val="baseline"/>
        <w:rPr>
          <w:rFonts w:asciiTheme="majorHAnsi" w:hAnsiTheme="majorHAnsi" w:cstheme="majorHAnsi"/>
        </w:rPr>
      </w:pPr>
      <w:r w:rsidRPr="003E117D">
        <w:rPr>
          <w:rStyle w:val="normaltextrun"/>
          <w:rFonts w:asciiTheme="majorHAnsi" w:hAnsiTheme="majorHAnsi" w:cstheme="majorHAnsi"/>
        </w:rPr>
        <w:t>Meet with a qualified counsel to determine</w:t>
      </w:r>
      <w:r w:rsidR="00E179DC">
        <w:rPr>
          <w:rStyle w:val="normaltextrun"/>
          <w:rFonts w:asciiTheme="majorHAnsi" w:hAnsiTheme="majorHAnsi" w:cstheme="majorHAnsi"/>
        </w:rPr>
        <w:t xml:space="preserve"> and comply with</w:t>
      </w:r>
      <w:r w:rsidRPr="003E117D">
        <w:rPr>
          <w:rStyle w:val="normaltextrun"/>
          <w:rFonts w:asciiTheme="majorHAnsi" w:hAnsiTheme="majorHAnsi" w:cstheme="majorHAnsi"/>
        </w:rPr>
        <w:t xml:space="preserve"> reporting requirements. </w:t>
      </w:r>
      <w:r w:rsidRPr="003E117D">
        <w:rPr>
          <w:rStyle w:val="eop"/>
          <w:rFonts w:asciiTheme="majorHAnsi" w:hAnsiTheme="majorHAnsi" w:cstheme="majorHAnsi"/>
        </w:rPr>
        <w:t> </w:t>
      </w:r>
    </w:p>
    <w:p w14:paraId="76074450"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0FD4988B"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69ECBA20"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39AD4F38" w14:textId="77777777" w:rsidR="003E117D" w:rsidRPr="003E117D" w:rsidRDefault="003E117D" w:rsidP="003E117D">
      <w:pPr>
        <w:pStyle w:val="paragraph"/>
        <w:spacing w:before="0" w:beforeAutospacing="0" w:after="0" w:afterAutospacing="0"/>
        <w:ind w:firstLine="720"/>
        <w:textAlignment w:val="baseline"/>
        <w:rPr>
          <w:rFonts w:asciiTheme="majorHAnsi" w:hAnsiTheme="majorHAnsi" w:cstheme="majorHAnsi"/>
        </w:rPr>
      </w:pPr>
      <w:r w:rsidRPr="003E117D">
        <w:rPr>
          <w:rStyle w:val="eop"/>
          <w:rFonts w:asciiTheme="majorHAnsi" w:hAnsiTheme="majorHAnsi" w:cstheme="majorHAnsi"/>
        </w:rPr>
        <w:t> </w:t>
      </w:r>
    </w:p>
    <w:p w14:paraId="48C4D8E8" w14:textId="77777777" w:rsidR="003E117D" w:rsidRPr="003E117D" w:rsidRDefault="003E117D" w:rsidP="003E117D">
      <w:pPr>
        <w:pStyle w:val="paragraph"/>
        <w:spacing w:before="0" w:beforeAutospacing="0" w:after="0" w:afterAutospacing="0"/>
        <w:textAlignment w:val="baseline"/>
        <w:rPr>
          <w:rFonts w:asciiTheme="majorHAnsi" w:hAnsiTheme="majorHAnsi" w:cstheme="majorHAnsi"/>
        </w:rPr>
      </w:pPr>
      <w:r w:rsidRPr="003E117D">
        <w:rPr>
          <w:rStyle w:val="eop"/>
          <w:rFonts w:asciiTheme="majorHAnsi" w:hAnsiTheme="majorHAnsi" w:cstheme="majorHAnsi"/>
        </w:rPr>
        <w:t> </w:t>
      </w:r>
    </w:p>
    <w:p w14:paraId="45B0620A" w14:textId="77777777" w:rsidR="006B58C7" w:rsidRPr="003E117D" w:rsidRDefault="006B58C7">
      <w:pPr>
        <w:rPr>
          <w:rFonts w:asciiTheme="majorHAnsi" w:hAnsiTheme="majorHAnsi" w:cstheme="majorHAnsi"/>
        </w:rPr>
      </w:pPr>
    </w:p>
    <w:sectPr w:rsidR="006B58C7" w:rsidRPr="003E11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9B94" w14:textId="77777777" w:rsidR="002E216B" w:rsidRDefault="002E216B" w:rsidP="00E179DC">
      <w:pPr>
        <w:spacing w:after="0" w:line="240" w:lineRule="auto"/>
      </w:pPr>
      <w:r>
        <w:separator/>
      </w:r>
    </w:p>
  </w:endnote>
  <w:endnote w:type="continuationSeparator" w:id="0">
    <w:p w14:paraId="4A7909B9" w14:textId="77777777" w:rsidR="002E216B" w:rsidRDefault="002E216B" w:rsidP="00E1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A59D" w14:textId="134DD0DA" w:rsidR="00E179DC" w:rsidRDefault="004F12A5">
    <w:pPr>
      <w:pStyle w:val="Footer"/>
      <w:jc w:val="center"/>
    </w:pPr>
    <w:sdt>
      <w:sdtPr>
        <w:id w:val="730429151"/>
        <w:docPartObj>
          <w:docPartGallery w:val="Page Numbers (Bottom of Page)"/>
          <w:docPartUnique/>
        </w:docPartObj>
      </w:sdtPr>
      <w:sdtEndPr>
        <w:rPr>
          <w:noProof/>
        </w:rPr>
      </w:sdtEndPr>
      <w:sdtContent>
        <w:r w:rsidR="00E179DC">
          <w:t>-</w:t>
        </w:r>
        <w:r w:rsidR="00E179DC">
          <w:fldChar w:fldCharType="begin"/>
        </w:r>
        <w:r w:rsidR="00E179DC">
          <w:instrText xml:space="preserve"> PAGE   \* MERGEFORMAT </w:instrText>
        </w:r>
        <w:r w:rsidR="00E179DC">
          <w:fldChar w:fldCharType="separate"/>
        </w:r>
        <w:r w:rsidR="00E179DC">
          <w:rPr>
            <w:noProof/>
          </w:rPr>
          <w:t>2</w:t>
        </w:r>
        <w:r w:rsidR="00E179DC">
          <w:rPr>
            <w:noProof/>
          </w:rPr>
          <w:fldChar w:fldCharType="end"/>
        </w:r>
      </w:sdtContent>
    </w:sdt>
    <w:r w:rsidR="00E179DC">
      <w:rPr>
        <w:noProof/>
      </w:rPr>
      <w:t>-</w:t>
    </w:r>
  </w:p>
  <w:p w14:paraId="5C497225" w14:textId="77777777" w:rsidR="00E179DC" w:rsidRDefault="00E17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834C" w14:textId="77777777" w:rsidR="002E216B" w:rsidRDefault="002E216B" w:rsidP="00E179DC">
      <w:pPr>
        <w:spacing w:after="0" w:line="240" w:lineRule="auto"/>
      </w:pPr>
      <w:r>
        <w:separator/>
      </w:r>
    </w:p>
  </w:footnote>
  <w:footnote w:type="continuationSeparator" w:id="0">
    <w:p w14:paraId="25E9A497" w14:textId="77777777" w:rsidR="002E216B" w:rsidRDefault="002E216B" w:rsidP="00E17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BA4"/>
    <w:multiLevelType w:val="multilevel"/>
    <w:tmpl w:val="4D6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97226"/>
    <w:multiLevelType w:val="multilevel"/>
    <w:tmpl w:val="E964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00748"/>
    <w:multiLevelType w:val="multilevel"/>
    <w:tmpl w:val="0F6AB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62C00"/>
    <w:multiLevelType w:val="multilevel"/>
    <w:tmpl w:val="5BECDA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0B3679"/>
    <w:multiLevelType w:val="multilevel"/>
    <w:tmpl w:val="DBD2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E49BE"/>
    <w:multiLevelType w:val="multilevel"/>
    <w:tmpl w:val="A0E057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4CB7D6A"/>
    <w:multiLevelType w:val="multilevel"/>
    <w:tmpl w:val="52AC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B136AC"/>
    <w:multiLevelType w:val="multilevel"/>
    <w:tmpl w:val="4C76C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6F1DAE"/>
    <w:multiLevelType w:val="multilevel"/>
    <w:tmpl w:val="8EDC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F03C76"/>
    <w:multiLevelType w:val="multilevel"/>
    <w:tmpl w:val="831C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9D052C"/>
    <w:multiLevelType w:val="multilevel"/>
    <w:tmpl w:val="2174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6A7D92"/>
    <w:multiLevelType w:val="multilevel"/>
    <w:tmpl w:val="2FA4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D01BDA"/>
    <w:multiLevelType w:val="multilevel"/>
    <w:tmpl w:val="4056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305E51"/>
    <w:multiLevelType w:val="multilevel"/>
    <w:tmpl w:val="39D05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436536A"/>
    <w:multiLevelType w:val="multilevel"/>
    <w:tmpl w:val="B9E6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D24205"/>
    <w:multiLevelType w:val="multilevel"/>
    <w:tmpl w:val="13E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572AFC"/>
    <w:multiLevelType w:val="multilevel"/>
    <w:tmpl w:val="7BFA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B644B6"/>
    <w:multiLevelType w:val="multilevel"/>
    <w:tmpl w:val="A032413E"/>
    <w:lvl w:ilvl="0">
      <w:start w:val="1"/>
      <w:numFmt w:val="lowerLetter"/>
      <w:lvlText w:val="%1."/>
      <w:lvlJc w:val="left"/>
      <w:pPr>
        <w:tabs>
          <w:tab w:val="num" w:pos="-2520"/>
        </w:tabs>
        <w:ind w:left="-252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360"/>
        </w:tabs>
        <w:ind w:left="-360" w:hanging="360"/>
      </w:pPr>
    </w:lvl>
    <w:lvl w:ilvl="4" w:tentative="1">
      <w:start w:val="1"/>
      <w:numFmt w:val="lowerLetter"/>
      <w:lvlText w:val="%5."/>
      <w:lvlJc w:val="left"/>
      <w:pPr>
        <w:tabs>
          <w:tab w:val="num" w:pos="360"/>
        </w:tabs>
        <w:ind w:left="360" w:hanging="360"/>
      </w:pPr>
    </w:lvl>
    <w:lvl w:ilvl="5" w:tentative="1">
      <w:start w:val="1"/>
      <w:numFmt w:val="lowerLetter"/>
      <w:lvlText w:val="%6."/>
      <w:lvlJc w:val="left"/>
      <w:pPr>
        <w:tabs>
          <w:tab w:val="num" w:pos="1080"/>
        </w:tabs>
        <w:ind w:left="1080" w:hanging="360"/>
      </w:pPr>
    </w:lvl>
    <w:lvl w:ilvl="6" w:tentative="1">
      <w:start w:val="1"/>
      <w:numFmt w:val="lowerLetter"/>
      <w:lvlText w:val="%7."/>
      <w:lvlJc w:val="left"/>
      <w:pPr>
        <w:tabs>
          <w:tab w:val="num" w:pos="1800"/>
        </w:tabs>
        <w:ind w:left="1800" w:hanging="360"/>
      </w:pPr>
    </w:lvl>
    <w:lvl w:ilvl="7" w:tentative="1">
      <w:start w:val="1"/>
      <w:numFmt w:val="lowerLetter"/>
      <w:lvlText w:val="%8."/>
      <w:lvlJc w:val="left"/>
      <w:pPr>
        <w:tabs>
          <w:tab w:val="num" w:pos="2520"/>
        </w:tabs>
        <w:ind w:left="2520" w:hanging="360"/>
      </w:pPr>
    </w:lvl>
    <w:lvl w:ilvl="8" w:tentative="1">
      <w:start w:val="1"/>
      <w:numFmt w:val="lowerLetter"/>
      <w:lvlText w:val="%9."/>
      <w:lvlJc w:val="left"/>
      <w:pPr>
        <w:tabs>
          <w:tab w:val="num" w:pos="3240"/>
        </w:tabs>
        <w:ind w:left="3240" w:hanging="360"/>
      </w:pPr>
    </w:lvl>
  </w:abstractNum>
  <w:abstractNum w:abstractNumId="18" w15:restartNumberingAfterBreak="0">
    <w:nsid w:val="5A357989"/>
    <w:multiLevelType w:val="multilevel"/>
    <w:tmpl w:val="C4FC82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6904185"/>
    <w:multiLevelType w:val="multilevel"/>
    <w:tmpl w:val="950EC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8C01F95"/>
    <w:multiLevelType w:val="multilevel"/>
    <w:tmpl w:val="AF02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66646A"/>
    <w:multiLevelType w:val="multilevel"/>
    <w:tmpl w:val="15CA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AC1BE2"/>
    <w:multiLevelType w:val="multilevel"/>
    <w:tmpl w:val="B5FE5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A53003"/>
    <w:multiLevelType w:val="multilevel"/>
    <w:tmpl w:val="29FAD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9955576">
    <w:abstractNumId w:val="19"/>
  </w:num>
  <w:num w:numId="2" w16cid:durableId="1872300022">
    <w:abstractNumId w:val="18"/>
  </w:num>
  <w:num w:numId="3" w16cid:durableId="408045102">
    <w:abstractNumId w:val="1"/>
  </w:num>
  <w:num w:numId="4" w16cid:durableId="628364662">
    <w:abstractNumId w:val="8"/>
  </w:num>
  <w:num w:numId="5" w16cid:durableId="20127403">
    <w:abstractNumId w:val="16"/>
  </w:num>
  <w:num w:numId="6" w16cid:durableId="840661463">
    <w:abstractNumId w:val="0"/>
  </w:num>
  <w:num w:numId="7" w16cid:durableId="2094933425">
    <w:abstractNumId w:val="12"/>
  </w:num>
  <w:num w:numId="8" w16cid:durableId="942302726">
    <w:abstractNumId w:val="17"/>
  </w:num>
  <w:num w:numId="9" w16cid:durableId="861286946">
    <w:abstractNumId w:val="14"/>
  </w:num>
  <w:num w:numId="10" w16cid:durableId="2030795483">
    <w:abstractNumId w:val="6"/>
  </w:num>
  <w:num w:numId="11" w16cid:durableId="2095586390">
    <w:abstractNumId w:val="5"/>
  </w:num>
  <w:num w:numId="12" w16cid:durableId="860824268">
    <w:abstractNumId w:val="20"/>
  </w:num>
  <w:num w:numId="13" w16cid:durableId="843396705">
    <w:abstractNumId w:val="4"/>
  </w:num>
  <w:num w:numId="14" w16cid:durableId="1818064371">
    <w:abstractNumId w:val="15"/>
  </w:num>
  <w:num w:numId="15" w16cid:durableId="941187797">
    <w:abstractNumId w:val="7"/>
  </w:num>
  <w:num w:numId="16" w16cid:durableId="1519469000">
    <w:abstractNumId w:val="21"/>
  </w:num>
  <w:num w:numId="17" w16cid:durableId="1549221132">
    <w:abstractNumId w:val="9"/>
  </w:num>
  <w:num w:numId="18" w16cid:durableId="997929190">
    <w:abstractNumId w:val="11"/>
  </w:num>
  <w:num w:numId="19" w16cid:durableId="614287410">
    <w:abstractNumId w:val="10"/>
  </w:num>
  <w:num w:numId="20" w16cid:durableId="1517425389">
    <w:abstractNumId w:val="2"/>
  </w:num>
  <w:num w:numId="21" w16cid:durableId="918053160">
    <w:abstractNumId w:val="22"/>
  </w:num>
  <w:num w:numId="22" w16cid:durableId="221213887">
    <w:abstractNumId w:val="23"/>
  </w:num>
  <w:num w:numId="23" w16cid:durableId="275140644">
    <w:abstractNumId w:val="13"/>
  </w:num>
  <w:num w:numId="24" w16cid:durableId="1072629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7D"/>
    <w:rsid w:val="000F71DF"/>
    <w:rsid w:val="002169EB"/>
    <w:rsid w:val="002854B8"/>
    <w:rsid w:val="002E216B"/>
    <w:rsid w:val="0035437D"/>
    <w:rsid w:val="003B17CB"/>
    <w:rsid w:val="003E117D"/>
    <w:rsid w:val="004F12A5"/>
    <w:rsid w:val="00567502"/>
    <w:rsid w:val="005A4DB7"/>
    <w:rsid w:val="0060344E"/>
    <w:rsid w:val="006B58C7"/>
    <w:rsid w:val="00814D01"/>
    <w:rsid w:val="00864E86"/>
    <w:rsid w:val="00883E36"/>
    <w:rsid w:val="00B4210C"/>
    <w:rsid w:val="00C073D7"/>
    <w:rsid w:val="00C10117"/>
    <w:rsid w:val="00D0661D"/>
    <w:rsid w:val="00E179DC"/>
    <w:rsid w:val="00EE18F3"/>
    <w:rsid w:val="00FC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E8BA"/>
  <w15:chartTrackingRefBased/>
  <w15:docId w15:val="{77FE4DE8-D58F-469C-ACCC-7AEB0B71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117D"/>
    <w:pPr>
      <w:spacing w:before="100" w:beforeAutospacing="1" w:after="100" w:afterAutospacing="1" w:line="240" w:lineRule="auto"/>
    </w:pPr>
    <w:rPr>
      <w:rFonts w:ascii="Times New Roman" w:eastAsia="Times New Roman" w:hAnsi="Times New Roman"/>
    </w:rPr>
  </w:style>
  <w:style w:type="character" w:customStyle="1" w:styleId="normaltextrun">
    <w:name w:val="normaltextrun"/>
    <w:basedOn w:val="DefaultParagraphFont"/>
    <w:rsid w:val="003E117D"/>
  </w:style>
  <w:style w:type="character" w:customStyle="1" w:styleId="eop">
    <w:name w:val="eop"/>
    <w:basedOn w:val="DefaultParagraphFont"/>
    <w:rsid w:val="003E117D"/>
  </w:style>
  <w:style w:type="paragraph" w:styleId="Header">
    <w:name w:val="header"/>
    <w:basedOn w:val="Normal"/>
    <w:link w:val="HeaderChar"/>
    <w:uiPriority w:val="99"/>
    <w:unhideWhenUsed/>
    <w:rsid w:val="00E17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9DC"/>
  </w:style>
  <w:style w:type="paragraph" w:styleId="Footer">
    <w:name w:val="footer"/>
    <w:basedOn w:val="Normal"/>
    <w:link w:val="FooterChar"/>
    <w:uiPriority w:val="99"/>
    <w:unhideWhenUsed/>
    <w:rsid w:val="00E17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9DC"/>
  </w:style>
  <w:style w:type="paragraph" w:styleId="Revision">
    <w:name w:val="Revision"/>
    <w:hidden/>
    <w:uiPriority w:val="99"/>
    <w:semiHidden/>
    <w:rsid w:val="00C07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20114">
      <w:bodyDiv w:val="1"/>
      <w:marLeft w:val="0"/>
      <w:marRight w:val="0"/>
      <w:marTop w:val="0"/>
      <w:marBottom w:val="0"/>
      <w:divBdr>
        <w:top w:val="none" w:sz="0" w:space="0" w:color="auto"/>
        <w:left w:val="none" w:sz="0" w:space="0" w:color="auto"/>
        <w:bottom w:val="none" w:sz="0" w:space="0" w:color="auto"/>
        <w:right w:val="none" w:sz="0" w:space="0" w:color="auto"/>
      </w:divBdr>
      <w:divsChild>
        <w:div w:id="514416683">
          <w:marLeft w:val="0"/>
          <w:marRight w:val="0"/>
          <w:marTop w:val="0"/>
          <w:marBottom w:val="0"/>
          <w:divBdr>
            <w:top w:val="none" w:sz="0" w:space="0" w:color="auto"/>
            <w:left w:val="none" w:sz="0" w:space="0" w:color="auto"/>
            <w:bottom w:val="none" w:sz="0" w:space="0" w:color="auto"/>
            <w:right w:val="none" w:sz="0" w:space="0" w:color="auto"/>
          </w:divBdr>
        </w:div>
        <w:div w:id="1734425339">
          <w:marLeft w:val="0"/>
          <w:marRight w:val="0"/>
          <w:marTop w:val="0"/>
          <w:marBottom w:val="0"/>
          <w:divBdr>
            <w:top w:val="none" w:sz="0" w:space="0" w:color="auto"/>
            <w:left w:val="none" w:sz="0" w:space="0" w:color="auto"/>
            <w:bottom w:val="none" w:sz="0" w:space="0" w:color="auto"/>
            <w:right w:val="none" w:sz="0" w:space="0" w:color="auto"/>
          </w:divBdr>
        </w:div>
        <w:div w:id="1242716740">
          <w:marLeft w:val="0"/>
          <w:marRight w:val="0"/>
          <w:marTop w:val="0"/>
          <w:marBottom w:val="0"/>
          <w:divBdr>
            <w:top w:val="none" w:sz="0" w:space="0" w:color="auto"/>
            <w:left w:val="none" w:sz="0" w:space="0" w:color="auto"/>
            <w:bottom w:val="none" w:sz="0" w:space="0" w:color="auto"/>
            <w:right w:val="none" w:sz="0" w:space="0" w:color="auto"/>
          </w:divBdr>
        </w:div>
        <w:div w:id="322469699">
          <w:marLeft w:val="0"/>
          <w:marRight w:val="0"/>
          <w:marTop w:val="0"/>
          <w:marBottom w:val="0"/>
          <w:divBdr>
            <w:top w:val="none" w:sz="0" w:space="0" w:color="auto"/>
            <w:left w:val="none" w:sz="0" w:space="0" w:color="auto"/>
            <w:bottom w:val="none" w:sz="0" w:space="0" w:color="auto"/>
            <w:right w:val="none" w:sz="0" w:space="0" w:color="auto"/>
          </w:divBdr>
        </w:div>
        <w:div w:id="1391340150">
          <w:marLeft w:val="0"/>
          <w:marRight w:val="0"/>
          <w:marTop w:val="0"/>
          <w:marBottom w:val="0"/>
          <w:divBdr>
            <w:top w:val="none" w:sz="0" w:space="0" w:color="auto"/>
            <w:left w:val="none" w:sz="0" w:space="0" w:color="auto"/>
            <w:bottom w:val="none" w:sz="0" w:space="0" w:color="auto"/>
            <w:right w:val="none" w:sz="0" w:space="0" w:color="auto"/>
          </w:divBdr>
        </w:div>
        <w:div w:id="2051344340">
          <w:marLeft w:val="0"/>
          <w:marRight w:val="0"/>
          <w:marTop w:val="0"/>
          <w:marBottom w:val="0"/>
          <w:divBdr>
            <w:top w:val="none" w:sz="0" w:space="0" w:color="auto"/>
            <w:left w:val="none" w:sz="0" w:space="0" w:color="auto"/>
            <w:bottom w:val="none" w:sz="0" w:space="0" w:color="auto"/>
            <w:right w:val="none" w:sz="0" w:space="0" w:color="auto"/>
          </w:divBdr>
        </w:div>
        <w:div w:id="1306085833">
          <w:marLeft w:val="0"/>
          <w:marRight w:val="0"/>
          <w:marTop w:val="0"/>
          <w:marBottom w:val="0"/>
          <w:divBdr>
            <w:top w:val="none" w:sz="0" w:space="0" w:color="auto"/>
            <w:left w:val="none" w:sz="0" w:space="0" w:color="auto"/>
            <w:bottom w:val="none" w:sz="0" w:space="0" w:color="auto"/>
            <w:right w:val="none" w:sz="0" w:space="0" w:color="auto"/>
          </w:divBdr>
        </w:div>
        <w:div w:id="1127427153">
          <w:marLeft w:val="0"/>
          <w:marRight w:val="0"/>
          <w:marTop w:val="0"/>
          <w:marBottom w:val="0"/>
          <w:divBdr>
            <w:top w:val="none" w:sz="0" w:space="0" w:color="auto"/>
            <w:left w:val="none" w:sz="0" w:space="0" w:color="auto"/>
            <w:bottom w:val="none" w:sz="0" w:space="0" w:color="auto"/>
            <w:right w:val="none" w:sz="0" w:space="0" w:color="auto"/>
          </w:divBdr>
        </w:div>
        <w:div w:id="1146967800">
          <w:marLeft w:val="0"/>
          <w:marRight w:val="0"/>
          <w:marTop w:val="0"/>
          <w:marBottom w:val="0"/>
          <w:divBdr>
            <w:top w:val="none" w:sz="0" w:space="0" w:color="auto"/>
            <w:left w:val="none" w:sz="0" w:space="0" w:color="auto"/>
            <w:bottom w:val="none" w:sz="0" w:space="0" w:color="auto"/>
            <w:right w:val="none" w:sz="0" w:space="0" w:color="auto"/>
          </w:divBdr>
        </w:div>
        <w:div w:id="2060544923">
          <w:marLeft w:val="0"/>
          <w:marRight w:val="0"/>
          <w:marTop w:val="0"/>
          <w:marBottom w:val="0"/>
          <w:divBdr>
            <w:top w:val="none" w:sz="0" w:space="0" w:color="auto"/>
            <w:left w:val="none" w:sz="0" w:space="0" w:color="auto"/>
            <w:bottom w:val="none" w:sz="0" w:space="0" w:color="auto"/>
            <w:right w:val="none" w:sz="0" w:space="0" w:color="auto"/>
          </w:divBdr>
        </w:div>
        <w:div w:id="831415325">
          <w:marLeft w:val="0"/>
          <w:marRight w:val="0"/>
          <w:marTop w:val="0"/>
          <w:marBottom w:val="0"/>
          <w:divBdr>
            <w:top w:val="none" w:sz="0" w:space="0" w:color="auto"/>
            <w:left w:val="none" w:sz="0" w:space="0" w:color="auto"/>
            <w:bottom w:val="none" w:sz="0" w:space="0" w:color="auto"/>
            <w:right w:val="none" w:sz="0" w:space="0" w:color="auto"/>
          </w:divBdr>
        </w:div>
        <w:div w:id="1533570525">
          <w:marLeft w:val="0"/>
          <w:marRight w:val="0"/>
          <w:marTop w:val="0"/>
          <w:marBottom w:val="0"/>
          <w:divBdr>
            <w:top w:val="none" w:sz="0" w:space="0" w:color="auto"/>
            <w:left w:val="none" w:sz="0" w:space="0" w:color="auto"/>
            <w:bottom w:val="none" w:sz="0" w:space="0" w:color="auto"/>
            <w:right w:val="none" w:sz="0" w:space="0" w:color="auto"/>
          </w:divBdr>
        </w:div>
        <w:div w:id="1359888257">
          <w:marLeft w:val="0"/>
          <w:marRight w:val="0"/>
          <w:marTop w:val="0"/>
          <w:marBottom w:val="0"/>
          <w:divBdr>
            <w:top w:val="none" w:sz="0" w:space="0" w:color="auto"/>
            <w:left w:val="none" w:sz="0" w:space="0" w:color="auto"/>
            <w:bottom w:val="none" w:sz="0" w:space="0" w:color="auto"/>
            <w:right w:val="none" w:sz="0" w:space="0" w:color="auto"/>
          </w:divBdr>
        </w:div>
        <w:div w:id="1550650986">
          <w:marLeft w:val="0"/>
          <w:marRight w:val="0"/>
          <w:marTop w:val="0"/>
          <w:marBottom w:val="0"/>
          <w:divBdr>
            <w:top w:val="none" w:sz="0" w:space="0" w:color="auto"/>
            <w:left w:val="none" w:sz="0" w:space="0" w:color="auto"/>
            <w:bottom w:val="none" w:sz="0" w:space="0" w:color="auto"/>
            <w:right w:val="none" w:sz="0" w:space="0" w:color="auto"/>
          </w:divBdr>
        </w:div>
        <w:div w:id="1960915644">
          <w:marLeft w:val="0"/>
          <w:marRight w:val="0"/>
          <w:marTop w:val="0"/>
          <w:marBottom w:val="0"/>
          <w:divBdr>
            <w:top w:val="none" w:sz="0" w:space="0" w:color="auto"/>
            <w:left w:val="none" w:sz="0" w:space="0" w:color="auto"/>
            <w:bottom w:val="none" w:sz="0" w:space="0" w:color="auto"/>
            <w:right w:val="none" w:sz="0" w:space="0" w:color="auto"/>
          </w:divBdr>
        </w:div>
        <w:div w:id="2067681227">
          <w:marLeft w:val="0"/>
          <w:marRight w:val="0"/>
          <w:marTop w:val="0"/>
          <w:marBottom w:val="0"/>
          <w:divBdr>
            <w:top w:val="none" w:sz="0" w:space="0" w:color="auto"/>
            <w:left w:val="none" w:sz="0" w:space="0" w:color="auto"/>
            <w:bottom w:val="none" w:sz="0" w:space="0" w:color="auto"/>
            <w:right w:val="none" w:sz="0" w:space="0" w:color="auto"/>
          </w:divBdr>
        </w:div>
        <w:div w:id="971178100">
          <w:marLeft w:val="0"/>
          <w:marRight w:val="0"/>
          <w:marTop w:val="0"/>
          <w:marBottom w:val="0"/>
          <w:divBdr>
            <w:top w:val="none" w:sz="0" w:space="0" w:color="auto"/>
            <w:left w:val="none" w:sz="0" w:space="0" w:color="auto"/>
            <w:bottom w:val="none" w:sz="0" w:space="0" w:color="auto"/>
            <w:right w:val="none" w:sz="0" w:space="0" w:color="auto"/>
          </w:divBdr>
        </w:div>
        <w:div w:id="1738749170">
          <w:marLeft w:val="0"/>
          <w:marRight w:val="0"/>
          <w:marTop w:val="0"/>
          <w:marBottom w:val="0"/>
          <w:divBdr>
            <w:top w:val="none" w:sz="0" w:space="0" w:color="auto"/>
            <w:left w:val="none" w:sz="0" w:space="0" w:color="auto"/>
            <w:bottom w:val="none" w:sz="0" w:space="0" w:color="auto"/>
            <w:right w:val="none" w:sz="0" w:space="0" w:color="auto"/>
          </w:divBdr>
        </w:div>
        <w:div w:id="1091313806">
          <w:marLeft w:val="0"/>
          <w:marRight w:val="0"/>
          <w:marTop w:val="0"/>
          <w:marBottom w:val="0"/>
          <w:divBdr>
            <w:top w:val="none" w:sz="0" w:space="0" w:color="auto"/>
            <w:left w:val="none" w:sz="0" w:space="0" w:color="auto"/>
            <w:bottom w:val="none" w:sz="0" w:space="0" w:color="auto"/>
            <w:right w:val="none" w:sz="0" w:space="0" w:color="auto"/>
          </w:divBdr>
        </w:div>
        <w:div w:id="2061712218">
          <w:marLeft w:val="0"/>
          <w:marRight w:val="0"/>
          <w:marTop w:val="0"/>
          <w:marBottom w:val="0"/>
          <w:divBdr>
            <w:top w:val="none" w:sz="0" w:space="0" w:color="auto"/>
            <w:left w:val="none" w:sz="0" w:space="0" w:color="auto"/>
            <w:bottom w:val="none" w:sz="0" w:space="0" w:color="auto"/>
            <w:right w:val="none" w:sz="0" w:space="0" w:color="auto"/>
          </w:divBdr>
          <w:divsChild>
            <w:div w:id="1288394980">
              <w:marLeft w:val="0"/>
              <w:marRight w:val="0"/>
              <w:marTop w:val="0"/>
              <w:marBottom w:val="0"/>
              <w:divBdr>
                <w:top w:val="none" w:sz="0" w:space="0" w:color="auto"/>
                <w:left w:val="none" w:sz="0" w:space="0" w:color="auto"/>
                <w:bottom w:val="none" w:sz="0" w:space="0" w:color="auto"/>
                <w:right w:val="none" w:sz="0" w:space="0" w:color="auto"/>
              </w:divBdr>
            </w:div>
            <w:div w:id="912854225">
              <w:marLeft w:val="0"/>
              <w:marRight w:val="0"/>
              <w:marTop w:val="0"/>
              <w:marBottom w:val="0"/>
              <w:divBdr>
                <w:top w:val="none" w:sz="0" w:space="0" w:color="auto"/>
                <w:left w:val="none" w:sz="0" w:space="0" w:color="auto"/>
                <w:bottom w:val="none" w:sz="0" w:space="0" w:color="auto"/>
                <w:right w:val="none" w:sz="0" w:space="0" w:color="auto"/>
              </w:divBdr>
            </w:div>
            <w:div w:id="920681876">
              <w:marLeft w:val="0"/>
              <w:marRight w:val="0"/>
              <w:marTop w:val="0"/>
              <w:marBottom w:val="0"/>
              <w:divBdr>
                <w:top w:val="none" w:sz="0" w:space="0" w:color="auto"/>
                <w:left w:val="none" w:sz="0" w:space="0" w:color="auto"/>
                <w:bottom w:val="none" w:sz="0" w:space="0" w:color="auto"/>
                <w:right w:val="none" w:sz="0" w:space="0" w:color="auto"/>
              </w:divBdr>
            </w:div>
            <w:div w:id="963658590">
              <w:marLeft w:val="0"/>
              <w:marRight w:val="0"/>
              <w:marTop w:val="0"/>
              <w:marBottom w:val="0"/>
              <w:divBdr>
                <w:top w:val="none" w:sz="0" w:space="0" w:color="auto"/>
                <w:left w:val="none" w:sz="0" w:space="0" w:color="auto"/>
                <w:bottom w:val="none" w:sz="0" w:space="0" w:color="auto"/>
                <w:right w:val="none" w:sz="0" w:space="0" w:color="auto"/>
              </w:divBdr>
            </w:div>
          </w:divsChild>
        </w:div>
        <w:div w:id="1617249861">
          <w:marLeft w:val="0"/>
          <w:marRight w:val="0"/>
          <w:marTop w:val="0"/>
          <w:marBottom w:val="0"/>
          <w:divBdr>
            <w:top w:val="none" w:sz="0" w:space="0" w:color="auto"/>
            <w:left w:val="none" w:sz="0" w:space="0" w:color="auto"/>
            <w:bottom w:val="none" w:sz="0" w:space="0" w:color="auto"/>
            <w:right w:val="none" w:sz="0" w:space="0" w:color="auto"/>
          </w:divBdr>
          <w:divsChild>
            <w:div w:id="2008290197">
              <w:marLeft w:val="0"/>
              <w:marRight w:val="0"/>
              <w:marTop w:val="0"/>
              <w:marBottom w:val="0"/>
              <w:divBdr>
                <w:top w:val="none" w:sz="0" w:space="0" w:color="auto"/>
                <w:left w:val="none" w:sz="0" w:space="0" w:color="auto"/>
                <w:bottom w:val="none" w:sz="0" w:space="0" w:color="auto"/>
                <w:right w:val="none" w:sz="0" w:space="0" w:color="auto"/>
              </w:divBdr>
            </w:div>
            <w:div w:id="1759249701">
              <w:marLeft w:val="0"/>
              <w:marRight w:val="0"/>
              <w:marTop w:val="0"/>
              <w:marBottom w:val="0"/>
              <w:divBdr>
                <w:top w:val="none" w:sz="0" w:space="0" w:color="auto"/>
                <w:left w:val="none" w:sz="0" w:space="0" w:color="auto"/>
                <w:bottom w:val="none" w:sz="0" w:space="0" w:color="auto"/>
                <w:right w:val="none" w:sz="0" w:space="0" w:color="auto"/>
              </w:divBdr>
            </w:div>
          </w:divsChild>
        </w:div>
        <w:div w:id="1034884492">
          <w:marLeft w:val="0"/>
          <w:marRight w:val="0"/>
          <w:marTop w:val="0"/>
          <w:marBottom w:val="0"/>
          <w:divBdr>
            <w:top w:val="none" w:sz="0" w:space="0" w:color="auto"/>
            <w:left w:val="none" w:sz="0" w:space="0" w:color="auto"/>
            <w:bottom w:val="none" w:sz="0" w:space="0" w:color="auto"/>
            <w:right w:val="none" w:sz="0" w:space="0" w:color="auto"/>
          </w:divBdr>
          <w:divsChild>
            <w:div w:id="1918054984">
              <w:marLeft w:val="0"/>
              <w:marRight w:val="0"/>
              <w:marTop w:val="0"/>
              <w:marBottom w:val="0"/>
              <w:divBdr>
                <w:top w:val="none" w:sz="0" w:space="0" w:color="auto"/>
                <w:left w:val="none" w:sz="0" w:space="0" w:color="auto"/>
                <w:bottom w:val="none" w:sz="0" w:space="0" w:color="auto"/>
                <w:right w:val="none" w:sz="0" w:space="0" w:color="auto"/>
              </w:divBdr>
            </w:div>
            <w:div w:id="14308231">
              <w:marLeft w:val="0"/>
              <w:marRight w:val="0"/>
              <w:marTop w:val="0"/>
              <w:marBottom w:val="0"/>
              <w:divBdr>
                <w:top w:val="none" w:sz="0" w:space="0" w:color="auto"/>
                <w:left w:val="none" w:sz="0" w:space="0" w:color="auto"/>
                <w:bottom w:val="none" w:sz="0" w:space="0" w:color="auto"/>
                <w:right w:val="none" w:sz="0" w:space="0" w:color="auto"/>
              </w:divBdr>
            </w:div>
            <w:div w:id="143086771">
              <w:marLeft w:val="0"/>
              <w:marRight w:val="0"/>
              <w:marTop w:val="0"/>
              <w:marBottom w:val="0"/>
              <w:divBdr>
                <w:top w:val="none" w:sz="0" w:space="0" w:color="auto"/>
                <w:left w:val="none" w:sz="0" w:space="0" w:color="auto"/>
                <w:bottom w:val="none" w:sz="0" w:space="0" w:color="auto"/>
                <w:right w:val="none" w:sz="0" w:space="0" w:color="auto"/>
              </w:divBdr>
            </w:div>
            <w:div w:id="2018385817">
              <w:marLeft w:val="0"/>
              <w:marRight w:val="0"/>
              <w:marTop w:val="0"/>
              <w:marBottom w:val="0"/>
              <w:divBdr>
                <w:top w:val="none" w:sz="0" w:space="0" w:color="auto"/>
                <w:left w:val="none" w:sz="0" w:space="0" w:color="auto"/>
                <w:bottom w:val="none" w:sz="0" w:space="0" w:color="auto"/>
                <w:right w:val="none" w:sz="0" w:space="0" w:color="auto"/>
              </w:divBdr>
            </w:div>
          </w:divsChild>
        </w:div>
        <w:div w:id="800197168">
          <w:marLeft w:val="0"/>
          <w:marRight w:val="0"/>
          <w:marTop w:val="0"/>
          <w:marBottom w:val="0"/>
          <w:divBdr>
            <w:top w:val="none" w:sz="0" w:space="0" w:color="auto"/>
            <w:left w:val="none" w:sz="0" w:space="0" w:color="auto"/>
            <w:bottom w:val="none" w:sz="0" w:space="0" w:color="auto"/>
            <w:right w:val="none" w:sz="0" w:space="0" w:color="auto"/>
          </w:divBdr>
          <w:divsChild>
            <w:div w:id="1226407292">
              <w:marLeft w:val="0"/>
              <w:marRight w:val="0"/>
              <w:marTop w:val="0"/>
              <w:marBottom w:val="0"/>
              <w:divBdr>
                <w:top w:val="none" w:sz="0" w:space="0" w:color="auto"/>
                <w:left w:val="none" w:sz="0" w:space="0" w:color="auto"/>
                <w:bottom w:val="none" w:sz="0" w:space="0" w:color="auto"/>
                <w:right w:val="none" w:sz="0" w:space="0" w:color="auto"/>
              </w:divBdr>
            </w:div>
          </w:divsChild>
        </w:div>
        <w:div w:id="1069184874">
          <w:marLeft w:val="0"/>
          <w:marRight w:val="0"/>
          <w:marTop w:val="0"/>
          <w:marBottom w:val="0"/>
          <w:divBdr>
            <w:top w:val="none" w:sz="0" w:space="0" w:color="auto"/>
            <w:left w:val="none" w:sz="0" w:space="0" w:color="auto"/>
            <w:bottom w:val="none" w:sz="0" w:space="0" w:color="auto"/>
            <w:right w:val="none" w:sz="0" w:space="0" w:color="auto"/>
          </w:divBdr>
          <w:divsChild>
            <w:div w:id="1892694657">
              <w:marLeft w:val="0"/>
              <w:marRight w:val="0"/>
              <w:marTop w:val="0"/>
              <w:marBottom w:val="0"/>
              <w:divBdr>
                <w:top w:val="none" w:sz="0" w:space="0" w:color="auto"/>
                <w:left w:val="none" w:sz="0" w:space="0" w:color="auto"/>
                <w:bottom w:val="none" w:sz="0" w:space="0" w:color="auto"/>
                <w:right w:val="none" w:sz="0" w:space="0" w:color="auto"/>
              </w:divBdr>
            </w:div>
            <w:div w:id="1847357815">
              <w:marLeft w:val="0"/>
              <w:marRight w:val="0"/>
              <w:marTop w:val="0"/>
              <w:marBottom w:val="0"/>
              <w:divBdr>
                <w:top w:val="none" w:sz="0" w:space="0" w:color="auto"/>
                <w:left w:val="none" w:sz="0" w:space="0" w:color="auto"/>
                <w:bottom w:val="none" w:sz="0" w:space="0" w:color="auto"/>
                <w:right w:val="none" w:sz="0" w:space="0" w:color="auto"/>
              </w:divBdr>
            </w:div>
            <w:div w:id="165900674">
              <w:marLeft w:val="0"/>
              <w:marRight w:val="0"/>
              <w:marTop w:val="0"/>
              <w:marBottom w:val="0"/>
              <w:divBdr>
                <w:top w:val="none" w:sz="0" w:space="0" w:color="auto"/>
                <w:left w:val="none" w:sz="0" w:space="0" w:color="auto"/>
                <w:bottom w:val="none" w:sz="0" w:space="0" w:color="auto"/>
                <w:right w:val="none" w:sz="0" w:space="0" w:color="auto"/>
              </w:divBdr>
            </w:div>
          </w:divsChild>
        </w:div>
        <w:div w:id="1906527322">
          <w:marLeft w:val="0"/>
          <w:marRight w:val="0"/>
          <w:marTop w:val="0"/>
          <w:marBottom w:val="0"/>
          <w:divBdr>
            <w:top w:val="none" w:sz="0" w:space="0" w:color="auto"/>
            <w:left w:val="none" w:sz="0" w:space="0" w:color="auto"/>
            <w:bottom w:val="none" w:sz="0" w:space="0" w:color="auto"/>
            <w:right w:val="none" w:sz="0" w:space="0" w:color="auto"/>
          </w:divBdr>
          <w:divsChild>
            <w:div w:id="1369796978">
              <w:marLeft w:val="0"/>
              <w:marRight w:val="0"/>
              <w:marTop w:val="0"/>
              <w:marBottom w:val="0"/>
              <w:divBdr>
                <w:top w:val="none" w:sz="0" w:space="0" w:color="auto"/>
                <w:left w:val="none" w:sz="0" w:space="0" w:color="auto"/>
                <w:bottom w:val="none" w:sz="0" w:space="0" w:color="auto"/>
                <w:right w:val="none" w:sz="0" w:space="0" w:color="auto"/>
              </w:divBdr>
            </w:div>
            <w:div w:id="1199508414">
              <w:marLeft w:val="0"/>
              <w:marRight w:val="0"/>
              <w:marTop w:val="0"/>
              <w:marBottom w:val="0"/>
              <w:divBdr>
                <w:top w:val="none" w:sz="0" w:space="0" w:color="auto"/>
                <w:left w:val="none" w:sz="0" w:space="0" w:color="auto"/>
                <w:bottom w:val="none" w:sz="0" w:space="0" w:color="auto"/>
                <w:right w:val="none" w:sz="0" w:space="0" w:color="auto"/>
              </w:divBdr>
            </w:div>
            <w:div w:id="32200176">
              <w:marLeft w:val="0"/>
              <w:marRight w:val="0"/>
              <w:marTop w:val="0"/>
              <w:marBottom w:val="0"/>
              <w:divBdr>
                <w:top w:val="none" w:sz="0" w:space="0" w:color="auto"/>
                <w:left w:val="none" w:sz="0" w:space="0" w:color="auto"/>
                <w:bottom w:val="none" w:sz="0" w:space="0" w:color="auto"/>
                <w:right w:val="none" w:sz="0" w:space="0" w:color="auto"/>
              </w:divBdr>
            </w:div>
            <w:div w:id="2090232892">
              <w:marLeft w:val="0"/>
              <w:marRight w:val="0"/>
              <w:marTop w:val="0"/>
              <w:marBottom w:val="0"/>
              <w:divBdr>
                <w:top w:val="none" w:sz="0" w:space="0" w:color="auto"/>
                <w:left w:val="none" w:sz="0" w:space="0" w:color="auto"/>
                <w:bottom w:val="none" w:sz="0" w:space="0" w:color="auto"/>
                <w:right w:val="none" w:sz="0" w:space="0" w:color="auto"/>
              </w:divBdr>
            </w:div>
          </w:divsChild>
        </w:div>
        <w:div w:id="1548372293">
          <w:marLeft w:val="0"/>
          <w:marRight w:val="0"/>
          <w:marTop w:val="0"/>
          <w:marBottom w:val="0"/>
          <w:divBdr>
            <w:top w:val="none" w:sz="0" w:space="0" w:color="auto"/>
            <w:left w:val="none" w:sz="0" w:space="0" w:color="auto"/>
            <w:bottom w:val="none" w:sz="0" w:space="0" w:color="auto"/>
            <w:right w:val="none" w:sz="0" w:space="0" w:color="auto"/>
          </w:divBdr>
          <w:divsChild>
            <w:div w:id="1105268901">
              <w:marLeft w:val="0"/>
              <w:marRight w:val="0"/>
              <w:marTop w:val="0"/>
              <w:marBottom w:val="0"/>
              <w:divBdr>
                <w:top w:val="none" w:sz="0" w:space="0" w:color="auto"/>
                <w:left w:val="none" w:sz="0" w:space="0" w:color="auto"/>
                <w:bottom w:val="none" w:sz="0" w:space="0" w:color="auto"/>
                <w:right w:val="none" w:sz="0" w:space="0" w:color="auto"/>
              </w:divBdr>
            </w:div>
            <w:div w:id="105585239">
              <w:marLeft w:val="0"/>
              <w:marRight w:val="0"/>
              <w:marTop w:val="0"/>
              <w:marBottom w:val="0"/>
              <w:divBdr>
                <w:top w:val="none" w:sz="0" w:space="0" w:color="auto"/>
                <w:left w:val="none" w:sz="0" w:space="0" w:color="auto"/>
                <w:bottom w:val="none" w:sz="0" w:space="0" w:color="auto"/>
                <w:right w:val="none" w:sz="0" w:space="0" w:color="auto"/>
              </w:divBdr>
            </w:div>
            <w:div w:id="2082406422">
              <w:marLeft w:val="0"/>
              <w:marRight w:val="0"/>
              <w:marTop w:val="0"/>
              <w:marBottom w:val="0"/>
              <w:divBdr>
                <w:top w:val="none" w:sz="0" w:space="0" w:color="auto"/>
                <w:left w:val="none" w:sz="0" w:space="0" w:color="auto"/>
                <w:bottom w:val="none" w:sz="0" w:space="0" w:color="auto"/>
                <w:right w:val="none" w:sz="0" w:space="0" w:color="auto"/>
              </w:divBdr>
            </w:div>
          </w:divsChild>
        </w:div>
        <w:div w:id="1887905907">
          <w:marLeft w:val="0"/>
          <w:marRight w:val="0"/>
          <w:marTop w:val="0"/>
          <w:marBottom w:val="0"/>
          <w:divBdr>
            <w:top w:val="none" w:sz="0" w:space="0" w:color="auto"/>
            <w:left w:val="none" w:sz="0" w:space="0" w:color="auto"/>
            <w:bottom w:val="none" w:sz="0" w:space="0" w:color="auto"/>
            <w:right w:val="none" w:sz="0" w:space="0" w:color="auto"/>
          </w:divBdr>
        </w:div>
        <w:div w:id="1154177217">
          <w:marLeft w:val="0"/>
          <w:marRight w:val="0"/>
          <w:marTop w:val="0"/>
          <w:marBottom w:val="0"/>
          <w:divBdr>
            <w:top w:val="none" w:sz="0" w:space="0" w:color="auto"/>
            <w:left w:val="none" w:sz="0" w:space="0" w:color="auto"/>
            <w:bottom w:val="none" w:sz="0" w:space="0" w:color="auto"/>
            <w:right w:val="none" w:sz="0" w:space="0" w:color="auto"/>
          </w:divBdr>
        </w:div>
        <w:div w:id="1322747">
          <w:marLeft w:val="0"/>
          <w:marRight w:val="0"/>
          <w:marTop w:val="0"/>
          <w:marBottom w:val="0"/>
          <w:divBdr>
            <w:top w:val="none" w:sz="0" w:space="0" w:color="auto"/>
            <w:left w:val="none" w:sz="0" w:space="0" w:color="auto"/>
            <w:bottom w:val="none" w:sz="0" w:space="0" w:color="auto"/>
            <w:right w:val="none" w:sz="0" w:space="0" w:color="auto"/>
          </w:divBdr>
        </w:div>
        <w:div w:id="1559974948">
          <w:marLeft w:val="0"/>
          <w:marRight w:val="0"/>
          <w:marTop w:val="0"/>
          <w:marBottom w:val="0"/>
          <w:divBdr>
            <w:top w:val="none" w:sz="0" w:space="0" w:color="auto"/>
            <w:left w:val="none" w:sz="0" w:space="0" w:color="auto"/>
            <w:bottom w:val="none" w:sz="0" w:space="0" w:color="auto"/>
            <w:right w:val="none" w:sz="0" w:space="0" w:color="auto"/>
          </w:divBdr>
        </w:div>
        <w:div w:id="2044287900">
          <w:marLeft w:val="0"/>
          <w:marRight w:val="0"/>
          <w:marTop w:val="0"/>
          <w:marBottom w:val="0"/>
          <w:divBdr>
            <w:top w:val="none" w:sz="0" w:space="0" w:color="auto"/>
            <w:left w:val="none" w:sz="0" w:space="0" w:color="auto"/>
            <w:bottom w:val="none" w:sz="0" w:space="0" w:color="auto"/>
            <w:right w:val="none" w:sz="0" w:space="0" w:color="auto"/>
          </w:divBdr>
        </w:div>
        <w:div w:id="19356581">
          <w:marLeft w:val="0"/>
          <w:marRight w:val="0"/>
          <w:marTop w:val="0"/>
          <w:marBottom w:val="0"/>
          <w:divBdr>
            <w:top w:val="none" w:sz="0" w:space="0" w:color="auto"/>
            <w:left w:val="none" w:sz="0" w:space="0" w:color="auto"/>
            <w:bottom w:val="none" w:sz="0" w:space="0" w:color="auto"/>
            <w:right w:val="none" w:sz="0" w:space="0" w:color="auto"/>
          </w:divBdr>
        </w:div>
        <w:div w:id="1540701804">
          <w:marLeft w:val="0"/>
          <w:marRight w:val="0"/>
          <w:marTop w:val="0"/>
          <w:marBottom w:val="0"/>
          <w:divBdr>
            <w:top w:val="none" w:sz="0" w:space="0" w:color="auto"/>
            <w:left w:val="none" w:sz="0" w:space="0" w:color="auto"/>
            <w:bottom w:val="none" w:sz="0" w:space="0" w:color="auto"/>
            <w:right w:val="none" w:sz="0" w:space="0" w:color="auto"/>
          </w:divBdr>
        </w:div>
        <w:div w:id="1258755755">
          <w:marLeft w:val="0"/>
          <w:marRight w:val="0"/>
          <w:marTop w:val="0"/>
          <w:marBottom w:val="0"/>
          <w:divBdr>
            <w:top w:val="none" w:sz="0" w:space="0" w:color="auto"/>
            <w:left w:val="none" w:sz="0" w:space="0" w:color="auto"/>
            <w:bottom w:val="none" w:sz="0" w:space="0" w:color="auto"/>
            <w:right w:val="none" w:sz="0" w:space="0" w:color="auto"/>
          </w:divBdr>
          <w:divsChild>
            <w:div w:id="360672567">
              <w:marLeft w:val="0"/>
              <w:marRight w:val="0"/>
              <w:marTop w:val="0"/>
              <w:marBottom w:val="0"/>
              <w:divBdr>
                <w:top w:val="none" w:sz="0" w:space="0" w:color="auto"/>
                <w:left w:val="none" w:sz="0" w:space="0" w:color="auto"/>
                <w:bottom w:val="none" w:sz="0" w:space="0" w:color="auto"/>
                <w:right w:val="none" w:sz="0" w:space="0" w:color="auto"/>
              </w:divBdr>
            </w:div>
            <w:div w:id="135071923">
              <w:marLeft w:val="0"/>
              <w:marRight w:val="0"/>
              <w:marTop w:val="0"/>
              <w:marBottom w:val="0"/>
              <w:divBdr>
                <w:top w:val="none" w:sz="0" w:space="0" w:color="auto"/>
                <w:left w:val="none" w:sz="0" w:space="0" w:color="auto"/>
                <w:bottom w:val="none" w:sz="0" w:space="0" w:color="auto"/>
                <w:right w:val="none" w:sz="0" w:space="0" w:color="auto"/>
              </w:divBdr>
            </w:div>
            <w:div w:id="1244947608">
              <w:marLeft w:val="0"/>
              <w:marRight w:val="0"/>
              <w:marTop w:val="0"/>
              <w:marBottom w:val="0"/>
              <w:divBdr>
                <w:top w:val="none" w:sz="0" w:space="0" w:color="auto"/>
                <w:left w:val="none" w:sz="0" w:space="0" w:color="auto"/>
                <w:bottom w:val="none" w:sz="0" w:space="0" w:color="auto"/>
                <w:right w:val="none" w:sz="0" w:space="0" w:color="auto"/>
              </w:divBdr>
            </w:div>
          </w:divsChild>
        </w:div>
        <w:div w:id="671375643">
          <w:marLeft w:val="0"/>
          <w:marRight w:val="0"/>
          <w:marTop w:val="0"/>
          <w:marBottom w:val="0"/>
          <w:divBdr>
            <w:top w:val="none" w:sz="0" w:space="0" w:color="auto"/>
            <w:left w:val="none" w:sz="0" w:space="0" w:color="auto"/>
            <w:bottom w:val="none" w:sz="0" w:space="0" w:color="auto"/>
            <w:right w:val="none" w:sz="0" w:space="0" w:color="auto"/>
          </w:divBdr>
          <w:divsChild>
            <w:div w:id="1716588618">
              <w:marLeft w:val="0"/>
              <w:marRight w:val="0"/>
              <w:marTop w:val="0"/>
              <w:marBottom w:val="0"/>
              <w:divBdr>
                <w:top w:val="none" w:sz="0" w:space="0" w:color="auto"/>
                <w:left w:val="none" w:sz="0" w:space="0" w:color="auto"/>
                <w:bottom w:val="none" w:sz="0" w:space="0" w:color="auto"/>
                <w:right w:val="none" w:sz="0" w:space="0" w:color="auto"/>
              </w:divBdr>
            </w:div>
            <w:div w:id="2060547288">
              <w:marLeft w:val="0"/>
              <w:marRight w:val="0"/>
              <w:marTop w:val="0"/>
              <w:marBottom w:val="0"/>
              <w:divBdr>
                <w:top w:val="none" w:sz="0" w:space="0" w:color="auto"/>
                <w:left w:val="none" w:sz="0" w:space="0" w:color="auto"/>
                <w:bottom w:val="none" w:sz="0" w:space="0" w:color="auto"/>
                <w:right w:val="none" w:sz="0" w:space="0" w:color="auto"/>
              </w:divBdr>
            </w:div>
            <w:div w:id="706181256">
              <w:marLeft w:val="0"/>
              <w:marRight w:val="0"/>
              <w:marTop w:val="0"/>
              <w:marBottom w:val="0"/>
              <w:divBdr>
                <w:top w:val="none" w:sz="0" w:space="0" w:color="auto"/>
                <w:left w:val="none" w:sz="0" w:space="0" w:color="auto"/>
                <w:bottom w:val="none" w:sz="0" w:space="0" w:color="auto"/>
                <w:right w:val="none" w:sz="0" w:space="0" w:color="auto"/>
              </w:divBdr>
            </w:div>
          </w:divsChild>
        </w:div>
        <w:div w:id="183710841">
          <w:marLeft w:val="0"/>
          <w:marRight w:val="0"/>
          <w:marTop w:val="0"/>
          <w:marBottom w:val="0"/>
          <w:divBdr>
            <w:top w:val="none" w:sz="0" w:space="0" w:color="auto"/>
            <w:left w:val="none" w:sz="0" w:space="0" w:color="auto"/>
            <w:bottom w:val="none" w:sz="0" w:space="0" w:color="auto"/>
            <w:right w:val="none" w:sz="0" w:space="0" w:color="auto"/>
          </w:divBdr>
          <w:divsChild>
            <w:div w:id="1696687005">
              <w:marLeft w:val="0"/>
              <w:marRight w:val="0"/>
              <w:marTop w:val="0"/>
              <w:marBottom w:val="0"/>
              <w:divBdr>
                <w:top w:val="none" w:sz="0" w:space="0" w:color="auto"/>
                <w:left w:val="none" w:sz="0" w:space="0" w:color="auto"/>
                <w:bottom w:val="none" w:sz="0" w:space="0" w:color="auto"/>
                <w:right w:val="none" w:sz="0" w:space="0" w:color="auto"/>
              </w:divBdr>
            </w:div>
            <w:div w:id="2094736058">
              <w:marLeft w:val="0"/>
              <w:marRight w:val="0"/>
              <w:marTop w:val="0"/>
              <w:marBottom w:val="0"/>
              <w:divBdr>
                <w:top w:val="none" w:sz="0" w:space="0" w:color="auto"/>
                <w:left w:val="none" w:sz="0" w:space="0" w:color="auto"/>
                <w:bottom w:val="none" w:sz="0" w:space="0" w:color="auto"/>
                <w:right w:val="none" w:sz="0" w:space="0" w:color="auto"/>
              </w:divBdr>
            </w:div>
            <w:div w:id="1010832016">
              <w:marLeft w:val="0"/>
              <w:marRight w:val="0"/>
              <w:marTop w:val="0"/>
              <w:marBottom w:val="0"/>
              <w:divBdr>
                <w:top w:val="none" w:sz="0" w:space="0" w:color="auto"/>
                <w:left w:val="none" w:sz="0" w:space="0" w:color="auto"/>
                <w:bottom w:val="none" w:sz="0" w:space="0" w:color="auto"/>
                <w:right w:val="none" w:sz="0" w:space="0" w:color="auto"/>
              </w:divBdr>
            </w:div>
            <w:div w:id="438572247">
              <w:marLeft w:val="0"/>
              <w:marRight w:val="0"/>
              <w:marTop w:val="0"/>
              <w:marBottom w:val="0"/>
              <w:divBdr>
                <w:top w:val="none" w:sz="0" w:space="0" w:color="auto"/>
                <w:left w:val="none" w:sz="0" w:space="0" w:color="auto"/>
                <w:bottom w:val="none" w:sz="0" w:space="0" w:color="auto"/>
                <w:right w:val="none" w:sz="0" w:space="0" w:color="auto"/>
              </w:divBdr>
            </w:div>
          </w:divsChild>
        </w:div>
        <w:div w:id="436484865">
          <w:marLeft w:val="0"/>
          <w:marRight w:val="0"/>
          <w:marTop w:val="0"/>
          <w:marBottom w:val="0"/>
          <w:divBdr>
            <w:top w:val="none" w:sz="0" w:space="0" w:color="auto"/>
            <w:left w:val="none" w:sz="0" w:space="0" w:color="auto"/>
            <w:bottom w:val="none" w:sz="0" w:space="0" w:color="auto"/>
            <w:right w:val="none" w:sz="0" w:space="0" w:color="auto"/>
          </w:divBdr>
          <w:divsChild>
            <w:div w:id="719020355">
              <w:marLeft w:val="0"/>
              <w:marRight w:val="0"/>
              <w:marTop w:val="0"/>
              <w:marBottom w:val="0"/>
              <w:divBdr>
                <w:top w:val="none" w:sz="0" w:space="0" w:color="auto"/>
                <w:left w:val="none" w:sz="0" w:space="0" w:color="auto"/>
                <w:bottom w:val="none" w:sz="0" w:space="0" w:color="auto"/>
                <w:right w:val="none" w:sz="0" w:space="0" w:color="auto"/>
              </w:divBdr>
            </w:div>
            <w:div w:id="1875799943">
              <w:marLeft w:val="0"/>
              <w:marRight w:val="0"/>
              <w:marTop w:val="0"/>
              <w:marBottom w:val="0"/>
              <w:divBdr>
                <w:top w:val="none" w:sz="0" w:space="0" w:color="auto"/>
                <w:left w:val="none" w:sz="0" w:space="0" w:color="auto"/>
                <w:bottom w:val="none" w:sz="0" w:space="0" w:color="auto"/>
                <w:right w:val="none" w:sz="0" w:space="0" w:color="auto"/>
              </w:divBdr>
            </w:div>
            <w:div w:id="680669094">
              <w:marLeft w:val="0"/>
              <w:marRight w:val="0"/>
              <w:marTop w:val="0"/>
              <w:marBottom w:val="0"/>
              <w:divBdr>
                <w:top w:val="none" w:sz="0" w:space="0" w:color="auto"/>
                <w:left w:val="none" w:sz="0" w:space="0" w:color="auto"/>
                <w:bottom w:val="none" w:sz="0" w:space="0" w:color="auto"/>
                <w:right w:val="none" w:sz="0" w:space="0" w:color="auto"/>
              </w:divBdr>
            </w:div>
            <w:div w:id="482700873">
              <w:marLeft w:val="0"/>
              <w:marRight w:val="0"/>
              <w:marTop w:val="0"/>
              <w:marBottom w:val="0"/>
              <w:divBdr>
                <w:top w:val="none" w:sz="0" w:space="0" w:color="auto"/>
                <w:left w:val="none" w:sz="0" w:space="0" w:color="auto"/>
                <w:bottom w:val="none" w:sz="0" w:space="0" w:color="auto"/>
                <w:right w:val="none" w:sz="0" w:space="0" w:color="auto"/>
              </w:divBdr>
            </w:div>
          </w:divsChild>
        </w:div>
        <w:div w:id="895553686">
          <w:marLeft w:val="0"/>
          <w:marRight w:val="0"/>
          <w:marTop w:val="0"/>
          <w:marBottom w:val="0"/>
          <w:divBdr>
            <w:top w:val="none" w:sz="0" w:space="0" w:color="auto"/>
            <w:left w:val="none" w:sz="0" w:space="0" w:color="auto"/>
            <w:bottom w:val="none" w:sz="0" w:space="0" w:color="auto"/>
            <w:right w:val="none" w:sz="0" w:space="0" w:color="auto"/>
          </w:divBdr>
          <w:divsChild>
            <w:div w:id="919749807">
              <w:marLeft w:val="0"/>
              <w:marRight w:val="0"/>
              <w:marTop w:val="0"/>
              <w:marBottom w:val="0"/>
              <w:divBdr>
                <w:top w:val="none" w:sz="0" w:space="0" w:color="auto"/>
                <w:left w:val="none" w:sz="0" w:space="0" w:color="auto"/>
                <w:bottom w:val="none" w:sz="0" w:space="0" w:color="auto"/>
                <w:right w:val="none" w:sz="0" w:space="0" w:color="auto"/>
              </w:divBdr>
            </w:div>
            <w:div w:id="99960988">
              <w:marLeft w:val="0"/>
              <w:marRight w:val="0"/>
              <w:marTop w:val="0"/>
              <w:marBottom w:val="0"/>
              <w:divBdr>
                <w:top w:val="none" w:sz="0" w:space="0" w:color="auto"/>
                <w:left w:val="none" w:sz="0" w:space="0" w:color="auto"/>
                <w:bottom w:val="none" w:sz="0" w:space="0" w:color="auto"/>
                <w:right w:val="none" w:sz="0" w:space="0" w:color="auto"/>
              </w:divBdr>
            </w:div>
            <w:div w:id="778255282">
              <w:marLeft w:val="0"/>
              <w:marRight w:val="0"/>
              <w:marTop w:val="0"/>
              <w:marBottom w:val="0"/>
              <w:divBdr>
                <w:top w:val="none" w:sz="0" w:space="0" w:color="auto"/>
                <w:left w:val="none" w:sz="0" w:space="0" w:color="auto"/>
                <w:bottom w:val="none" w:sz="0" w:space="0" w:color="auto"/>
                <w:right w:val="none" w:sz="0" w:space="0" w:color="auto"/>
              </w:divBdr>
            </w:div>
          </w:divsChild>
        </w:div>
        <w:div w:id="1674798529">
          <w:marLeft w:val="0"/>
          <w:marRight w:val="0"/>
          <w:marTop w:val="0"/>
          <w:marBottom w:val="0"/>
          <w:divBdr>
            <w:top w:val="none" w:sz="0" w:space="0" w:color="auto"/>
            <w:left w:val="none" w:sz="0" w:space="0" w:color="auto"/>
            <w:bottom w:val="none" w:sz="0" w:space="0" w:color="auto"/>
            <w:right w:val="none" w:sz="0" w:space="0" w:color="auto"/>
          </w:divBdr>
        </w:div>
        <w:div w:id="1208647019">
          <w:marLeft w:val="0"/>
          <w:marRight w:val="0"/>
          <w:marTop w:val="0"/>
          <w:marBottom w:val="0"/>
          <w:divBdr>
            <w:top w:val="none" w:sz="0" w:space="0" w:color="auto"/>
            <w:left w:val="none" w:sz="0" w:space="0" w:color="auto"/>
            <w:bottom w:val="none" w:sz="0" w:space="0" w:color="auto"/>
            <w:right w:val="none" w:sz="0" w:space="0" w:color="auto"/>
          </w:divBdr>
        </w:div>
        <w:div w:id="233127258">
          <w:marLeft w:val="0"/>
          <w:marRight w:val="0"/>
          <w:marTop w:val="0"/>
          <w:marBottom w:val="0"/>
          <w:divBdr>
            <w:top w:val="none" w:sz="0" w:space="0" w:color="auto"/>
            <w:left w:val="none" w:sz="0" w:space="0" w:color="auto"/>
            <w:bottom w:val="none" w:sz="0" w:space="0" w:color="auto"/>
            <w:right w:val="none" w:sz="0" w:space="0" w:color="auto"/>
          </w:divBdr>
        </w:div>
        <w:div w:id="1089883132">
          <w:marLeft w:val="0"/>
          <w:marRight w:val="0"/>
          <w:marTop w:val="0"/>
          <w:marBottom w:val="0"/>
          <w:divBdr>
            <w:top w:val="none" w:sz="0" w:space="0" w:color="auto"/>
            <w:left w:val="none" w:sz="0" w:space="0" w:color="auto"/>
            <w:bottom w:val="none" w:sz="0" w:space="0" w:color="auto"/>
            <w:right w:val="none" w:sz="0" w:space="0" w:color="auto"/>
          </w:divBdr>
        </w:div>
        <w:div w:id="611009346">
          <w:marLeft w:val="0"/>
          <w:marRight w:val="0"/>
          <w:marTop w:val="0"/>
          <w:marBottom w:val="0"/>
          <w:divBdr>
            <w:top w:val="none" w:sz="0" w:space="0" w:color="auto"/>
            <w:left w:val="none" w:sz="0" w:space="0" w:color="auto"/>
            <w:bottom w:val="none" w:sz="0" w:space="0" w:color="auto"/>
            <w:right w:val="none" w:sz="0" w:space="0" w:color="auto"/>
          </w:divBdr>
        </w:div>
        <w:div w:id="1211645994">
          <w:marLeft w:val="0"/>
          <w:marRight w:val="0"/>
          <w:marTop w:val="0"/>
          <w:marBottom w:val="0"/>
          <w:divBdr>
            <w:top w:val="none" w:sz="0" w:space="0" w:color="auto"/>
            <w:left w:val="none" w:sz="0" w:space="0" w:color="auto"/>
            <w:bottom w:val="none" w:sz="0" w:space="0" w:color="auto"/>
            <w:right w:val="none" w:sz="0" w:space="0" w:color="auto"/>
          </w:divBdr>
        </w:div>
        <w:div w:id="492719249">
          <w:marLeft w:val="0"/>
          <w:marRight w:val="0"/>
          <w:marTop w:val="0"/>
          <w:marBottom w:val="0"/>
          <w:divBdr>
            <w:top w:val="none" w:sz="0" w:space="0" w:color="auto"/>
            <w:left w:val="none" w:sz="0" w:space="0" w:color="auto"/>
            <w:bottom w:val="none" w:sz="0" w:space="0" w:color="auto"/>
            <w:right w:val="none" w:sz="0" w:space="0" w:color="auto"/>
          </w:divBdr>
        </w:div>
        <w:div w:id="552010515">
          <w:marLeft w:val="0"/>
          <w:marRight w:val="0"/>
          <w:marTop w:val="0"/>
          <w:marBottom w:val="0"/>
          <w:divBdr>
            <w:top w:val="none" w:sz="0" w:space="0" w:color="auto"/>
            <w:left w:val="none" w:sz="0" w:space="0" w:color="auto"/>
            <w:bottom w:val="none" w:sz="0" w:space="0" w:color="auto"/>
            <w:right w:val="none" w:sz="0" w:space="0" w:color="auto"/>
          </w:divBdr>
          <w:divsChild>
            <w:div w:id="2046173613">
              <w:marLeft w:val="0"/>
              <w:marRight w:val="0"/>
              <w:marTop w:val="0"/>
              <w:marBottom w:val="0"/>
              <w:divBdr>
                <w:top w:val="none" w:sz="0" w:space="0" w:color="auto"/>
                <w:left w:val="none" w:sz="0" w:space="0" w:color="auto"/>
                <w:bottom w:val="none" w:sz="0" w:space="0" w:color="auto"/>
                <w:right w:val="none" w:sz="0" w:space="0" w:color="auto"/>
              </w:divBdr>
            </w:div>
            <w:div w:id="235745450">
              <w:marLeft w:val="0"/>
              <w:marRight w:val="0"/>
              <w:marTop w:val="0"/>
              <w:marBottom w:val="0"/>
              <w:divBdr>
                <w:top w:val="none" w:sz="0" w:space="0" w:color="auto"/>
                <w:left w:val="none" w:sz="0" w:space="0" w:color="auto"/>
                <w:bottom w:val="none" w:sz="0" w:space="0" w:color="auto"/>
                <w:right w:val="none" w:sz="0" w:space="0" w:color="auto"/>
              </w:divBdr>
            </w:div>
            <w:div w:id="97334323">
              <w:marLeft w:val="0"/>
              <w:marRight w:val="0"/>
              <w:marTop w:val="0"/>
              <w:marBottom w:val="0"/>
              <w:divBdr>
                <w:top w:val="none" w:sz="0" w:space="0" w:color="auto"/>
                <w:left w:val="none" w:sz="0" w:space="0" w:color="auto"/>
                <w:bottom w:val="none" w:sz="0" w:space="0" w:color="auto"/>
                <w:right w:val="none" w:sz="0" w:space="0" w:color="auto"/>
              </w:divBdr>
            </w:div>
            <w:div w:id="760837553">
              <w:marLeft w:val="0"/>
              <w:marRight w:val="0"/>
              <w:marTop w:val="0"/>
              <w:marBottom w:val="0"/>
              <w:divBdr>
                <w:top w:val="none" w:sz="0" w:space="0" w:color="auto"/>
                <w:left w:val="none" w:sz="0" w:space="0" w:color="auto"/>
                <w:bottom w:val="none" w:sz="0" w:space="0" w:color="auto"/>
                <w:right w:val="none" w:sz="0" w:space="0" w:color="auto"/>
              </w:divBdr>
            </w:div>
            <w:div w:id="865946044">
              <w:marLeft w:val="0"/>
              <w:marRight w:val="0"/>
              <w:marTop w:val="0"/>
              <w:marBottom w:val="0"/>
              <w:divBdr>
                <w:top w:val="none" w:sz="0" w:space="0" w:color="auto"/>
                <w:left w:val="none" w:sz="0" w:space="0" w:color="auto"/>
                <w:bottom w:val="none" w:sz="0" w:space="0" w:color="auto"/>
                <w:right w:val="none" w:sz="0" w:space="0" w:color="auto"/>
              </w:divBdr>
            </w:div>
            <w:div w:id="7563961">
              <w:marLeft w:val="0"/>
              <w:marRight w:val="0"/>
              <w:marTop w:val="0"/>
              <w:marBottom w:val="0"/>
              <w:divBdr>
                <w:top w:val="none" w:sz="0" w:space="0" w:color="auto"/>
                <w:left w:val="none" w:sz="0" w:space="0" w:color="auto"/>
                <w:bottom w:val="none" w:sz="0" w:space="0" w:color="auto"/>
                <w:right w:val="none" w:sz="0" w:space="0" w:color="auto"/>
              </w:divBdr>
            </w:div>
            <w:div w:id="1446542221">
              <w:marLeft w:val="0"/>
              <w:marRight w:val="0"/>
              <w:marTop w:val="0"/>
              <w:marBottom w:val="0"/>
              <w:divBdr>
                <w:top w:val="none" w:sz="0" w:space="0" w:color="auto"/>
                <w:left w:val="none" w:sz="0" w:space="0" w:color="auto"/>
                <w:bottom w:val="none" w:sz="0" w:space="0" w:color="auto"/>
                <w:right w:val="none" w:sz="0" w:space="0" w:color="auto"/>
              </w:divBdr>
            </w:div>
            <w:div w:id="1958098459">
              <w:marLeft w:val="0"/>
              <w:marRight w:val="0"/>
              <w:marTop w:val="0"/>
              <w:marBottom w:val="0"/>
              <w:divBdr>
                <w:top w:val="none" w:sz="0" w:space="0" w:color="auto"/>
                <w:left w:val="none" w:sz="0" w:space="0" w:color="auto"/>
                <w:bottom w:val="none" w:sz="0" w:space="0" w:color="auto"/>
                <w:right w:val="none" w:sz="0" w:space="0" w:color="auto"/>
              </w:divBdr>
            </w:div>
            <w:div w:id="1697194104">
              <w:marLeft w:val="0"/>
              <w:marRight w:val="0"/>
              <w:marTop w:val="0"/>
              <w:marBottom w:val="0"/>
              <w:divBdr>
                <w:top w:val="none" w:sz="0" w:space="0" w:color="auto"/>
                <w:left w:val="none" w:sz="0" w:space="0" w:color="auto"/>
                <w:bottom w:val="none" w:sz="0" w:space="0" w:color="auto"/>
                <w:right w:val="none" w:sz="0" w:space="0" w:color="auto"/>
              </w:divBdr>
            </w:div>
            <w:div w:id="811598706">
              <w:marLeft w:val="0"/>
              <w:marRight w:val="0"/>
              <w:marTop w:val="0"/>
              <w:marBottom w:val="0"/>
              <w:divBdr>
                <w:top w:val="none" w:sz="0" w:space="0" w:color="auto"/>
                <w:left w:val="none" w:sz="0" w:space="0" w:color="auto"/>
                <w:bottom w:val="none" w:sz="0" w:space="0" w:color="auto"/>
                <w:right w:val="none" w:sz="0" w:space="0" w:color="auto"/>
              </w:divBdr>
            </w:div>
            <w:div w:id="630862668">
              <w:marLeft w:val="0"/>
              <w:marRight w:val="0"/>
              <w:marTop w:val="0"/>
              <w:marBottom w:val="0"/>
              <w:divBdr>
                <w:top w:val="none" w:sz="0" w:space="0" w:color="auto"/>
                <w:left w:val="none" w:sz="0" w:space="0" w:color="auto"/>
                <w:bottom w:val="none" w:sz="0" w:space="0" w:color="auto"/>
                <w:right w:val="none" w:sz="0" w:space="0" w:color="auto"/>
              </w:divBdr>
            </w:div>
            <w:div w:id="351030387">
              <w:marLeft w:val="0"/>
              <w:marRight w:val="0"/>
              <w:marTop w:val="0"/>
              <w:marBottom w:val="0"/>
              <w:divBdr>
                <w:top w:val="none" w:sz="0" w:space="0" w:color="auto"/>
                <w:left w:val="none" w:sz="0" w:space="0" w:color="auto"/>
                <w:bottom w:val="none" w:sz="0" w:space="0" w:color="auto"/>
                <w:right w:val="none" w:sz="0" w:space="0" w:color="auto"/>
              </w:divBdr>
            </w:div>
            <w:div w:id="2051566935">
              <w:marLeft w:val="0"/>
              <w:marRight w:val="0"/>
              <w:marTop w:val="0"/>
              <w:marBottom w:val="0"/>
              <w:divBdr>
                <w:top w:val="none" w:sz="0" w:space="0" w:color="auto"/>
                <w:left w:val="none" w:sz="0" w:space="0" w:color="auto"/>
                <w:bottom w:val="none" w:sz="0" w:space="0" w:color="auto"/>
                <w:right w:val="none" w:sz="0" w:space="0" w:color="auto"/>
              </w:divBdr>
            </w:div>
            <w:div w:id="1342198808">
              <w:marLeft w:val="0"/>
              <w:marRight w:val="0"/>
              <w:marTop w:val="0"/>
              <w:marBottom w:val="0"/>
              <w:divBdr>
                <w:top w:val="none" w:sz="0" w:space="0" w:color="auto"/>
                <w:left w:val="none" w:sz="0" w:space="0" w:color="auto"/>
                <w:bottom w:val="none" w:sz="0" w:space="0" w:color="auto"/>
                <w:right w:val="none" w:sz="0" w:space="0" w:color="auto"/>
              </w:divBdr>
            </w:div>
            <w:div w:id="1252622241">
              <w:marLeft w:val="0"/>
              <w:marRight w:val="0"/>
              <w:marTop w:val="0"/>
              <w:marBottom w:val="0"/>
              <w:divBdr>
                <w:top w:val="none" w:sz="0" w:space="0" w:color="auto"/>
                <w:left w:val="none" w:sz="0" w:space="0" w:color="auto"/>
                <w:bottom w:val="none" w:sz="0" w:space="0" w:color="auto"/>
                <w:right w:val="none" w:sz="0" w:space="0" w:color="auto"/>
              </w:divBdr>
            </w:div>
            <w:div w:id="2037612490">
              <w:marLeft w:val="0"/>
              <w:marRight w:val="0"/>
              <w:marTop w:val="0"/>
              <w:marBottom w:val="0"/>
              <w:divBdr>
                <w:top w:val="none" w:sz="0" w:space="0" w:color="auto"/>
                <w:left w:val="none" w:sz="0" w:space="0" w:color="auto"/>
                <w:bottom w:val="none" w:sz="0" w:space="0" w:color="auto"/>
                <w:right w:val="none" w:sz="0" w:space="0" w:color="auto"/>
              </w:divBdr>
            </w:div>
          </w:divsChild>
        </w:div>
        <w:div w:id="1887254612">
          <w:marLeft w:val="0"/>
          <w:marRight w:val="0"/>
          <w:marTop w:val="0"/>
          <w:marBottom w:val="0"/>
          <w:divBdr>
            <w:top w:val="none" w:sz="0" w:space="0" w:color="auto"/>
            <w:left w:val="none" w:sz="0" w:space="0" w:color="auto"/>
            <w:bottom w:val="none" w:sz="0" w:space="0" w:color="auto"/>
            <w:right w:val="none" w:sz="0" w:space="0" w:color="auto"/>
          </w:divBdr>
        </w:div>
        <w:div w:id="2058620750">
          <w:marLeft w:val="0"/>
          <w:marRight w:val="0"/>
          <w:marTop w:val="0"/>
          <w:marBottom w:val="0"/>
          <w:divBdr>
            <w:top w:val="none" w:sz="0" w:space="0" w:color="auto"/>
            <w:left w:val="none" w:sz="0" w:space="0" w:color="auto"/>
            <w:bottom w:val="none" w:sz="0" w:space="0" w:color="auto"/>
            <w:right w:val="none" w:sz="0" w:space="0" w:color="auto"/>
          </w:divBdr>
        </w:div>
        <w:div w:id="523177904">
          <w:marLeft w:val="0"/>
          <w:marRight w:val="0"/>
          <w:marTop w:val="0"/>
          <w:marBottom w:val="0"/>
          <w:divBdr>
            <w:top w:val="none" w:sz="0" w:space="0" w:color="auto"/>
            <w:left w:val="none" w:sz="0" w:space="0" w:color="auto"/>
            <w:bottom w:val="none" w:sz="0" w:space="0" w:color="auto"/>
            <w:right w:val="none" w:sz="0" w:space="0" w:color="auto"/>
          </w:divBdr>
        </w:div>
        <w:div w:id="1606188610">
          <w:marLeft w:val="0"/>
          <w:marRight w:val="0"/>
          <w:marTop w:val="0"/>
          <w:marBottom w:val="0"/>
          <w:divBdr>
            <w:top w:val="none" w:sz="0" w:space="0" w:color="auto"/>
            <w:left w:val="none" w:sz="0" w:space="0" w:color="auto"/>
            <w:bottom w:val="none" w:sz="0" w:space="0" w:color="auto"/>
            <w:right w:val="none" w:sz="0" w:space="0" w:color="auto"/>
          </w:divBdr>
        </w:div>
        <w:div w:id="1598369992">
          <w:marLeft w:val="0"/>
          <w:marRight w:val="0"/>
          <w:marTop w:val="0"/>
          <w:marBottom w:val="0"/>
          <w:divBdr>
            <w:top w:val="none" w:sz="0" w:space="0" w:color="auto"/>
            <w:left w:val="none" w:sz="0" w:space="0" w:color="auto"/>
            <w:bottom w:val="none" w:sz="0" w:space="0" w:color="auto"/>
            <w:right w:val="none" w:sz="0" w:space="0" w:color="auto"/>
          </w:divBdr>
        </w:div>
        <w:div w:id="2011566677">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1996890">
          <w:marLeft w:val="0"/>
          <w:marRight w:val="0"/>
          <w:marTop w:val="0"/>
          <w:marBottom w:val="0"/>
          <w:divBdr>
            <w:top w:val="none" w:sz="0" w:space="0" w:color="auto"/>
            <w:left w:val="none" w:sz="0" w:space="0" w:color="auto"/>
            <w:bottom w:val="none" w:sz="0" w:space="0" w:color="auto"/>
            <w:right w:val="none" w:sz="0" w:space="0" w:color="auto"/>
          </w:divBdr>
          <w:divsChild>
            <w:div w:id="2039699236">
              <w:marLeft w:val="0"/>
              <w:marRight w:val="0"/>
              <w:marTop w:val="0"/>
              <w:marBottom w:val="0"/>
              <w:divBdr>
                <w:top w:val="none" w:sz="0" w:space="0" w:color="auto"/>
                <w:left w:val="none" w:sz="0" w:space="0" w:color="auto"/>
                <w:bottom w:val="none" w:sz="0" w:space="0" w:color="auto"/>
                <w:right w:val="none" w:sz="0" w:space="0" w:color="auto"/>
              </w:divBdr>
            </w:div>
            <w:div w:id="319040962">
              <w:marLeft w:val="0"/>
              <w:marRight w:val="0"/>
              <w:marTop w:val="0"/>
              <w:marBottom w:val="0"/>
              <w:divBdr>
                <w:top w:val="none" w:sz="0" w:space="0" w:color="auto"/>
                <w:left w:val="none" w:sz="0" w:space="0" w:color="auto"/>
                <w:bottom w:val="none" w:sz="0" w:space="0" w:color="auto"/>
                <w:right w:val="none" w:sz="0" w:space="0" w:color="auto"/>
              </w:divBdr>
            </w:div>
            <w:div w:id="2098479725">
              <w:marLeft w:val="0"/>
              <w:marRight w:val="0"/>
              <w:marTop w:val="0"/>
              <w:marBottom w:val="0"/>
              <w:divBdr>
                <w:top w:val="none" w:sz="0" w:space="0" w:color="auto"/>
                <w:left w:val="none" w:sz="0" w:space="0" w:color="auto"/>
                <w:bottom w:val="none" w:sz="0" w:space="0" w:color="auto"/>
                <w:right w:val="none" w:sz="0" w:space="0" w:color="auto"/>
              </w:divBdr>
            </w:div>
            <w:div w:id="1800219516">
              <w:marLeft w:val="0"/>
              <w:marRight w:val="0"/>
              <w:marTop w:val="0"/>
              <w:marBottom w:val="0"/>
              <w:divBdr>
                <w:top w:val="none" w:sz="0" w:space="0" w:color="auto"/>
                <w:left w:val="none" w:sz="0" w:space="0" w:color="auto"/>
                <w:bottom w:val="none" w:sz="0" w:space="0" w:color="auto"/>
                <w:right w:val="none" w:sz="0" w:space="0" w:color="auto"/>
              </w:divBdr>
            </w:div>
            <w:div w:id="1388920886">
              <w:marLeft w:val="0"/>
              <w:marRight w:val="0"/>
              <w:marTop w:val="0"/>
              <w:marBottom w:val="0"/>
              <w:divBdr>
                <w:top w:val="none" w:sz="0" w:space="0" w:color="auto"/>
                <w:left w:val="none" w:sz="0" w:space="0" w:color="auto"/>
                <w:bottom w:val="none" w:sz="0" w:space="0" w:color="auto"/>
                <w:right w:val="none" w:sz="0" w:space="0" w:color="auto"/>
              </w:divBdr>
            </w:div>
            <w:div w:id="1645431248">
              <w:marLeft w:val="0"/>
              <w:marRight w:val="0"/>
              <w:marTop w:val="0"/>
              <w:marBottom w:val="0"/>
              <w:divBdr>
                <w:top w:val="none" w:sz="0" w:space="0" w:color="auto"/>
                <w:left w:val="none" w:sz="0" w:space="0" w:color="auto"/>
                <w:bottom w:val="none" w:sz="0" w:space="0" w:color="auto"/>
                <w:right w:val="none" w:sz="0" w:space="0" w:color="auto"/>
              </w:divBdr>
            </w:div>
            <w:div w:id="1074089709">
              <w:marLeft w:val="0"/>
              <w:marRight w:val="0"/>
              <w:marTop w:val="0"/>
              <w:marBottom w:val="0"/>
              <w:divBdr>
                <w:top w:val="none" w:sz="0" w:space="0" w:color="auto"/>
                <w:left w:val="none" w:sz="0" w:space="0" w:color="auto"/>
                <w:bottom w:val="none" w:sz="0" w:space="0" w:color="auto"/>
                <w:right w:val="none" w:sz="0" w:space="0" w:color="auto"/>
              </w:divBdr>
            </w:div>
            <w:div w:id="155653822">
              <w:marLeft w:val="0"/>
              <w:marRight w:val="0"/>
              <w:marTop w:val="0"/>
              <w:marBottom w:val="0"/>
              <w:divBdr>
                <w:top w:val="none" w:sz="0" w:space="0" w:color="auto"/>
                <w:left w:val="none" w:sz="0" w:space="0" w:color="auto"/>
                <w:bottom w:val="none" w:sz="0" w:space="0" w:color="auto"/>
                <w:right w:val="none" w:sz="0" w:space="0" w:color="auto"/>
              </w:divBdr>
            </w:div>
            <w:div w:id="276714561">
              <w:marLeft w:val="0"/>
              <w:marRight w:val="0"/>
              <w:marTop w:val="0"/>
              <w:marBottom w:val="0"/>
              <w:divBdr>
                <w:top w:val="none" w:sz="0" w:space="0" w:color="auto"/>
                <w:left w:val="none" w:sz="0" w:space="0" w:color="auto"/>
                <w:bottom w:val="none" w:sz="0" w:space="0" w:color="auto"/>
                <w:right w:val="none" w:sz="0" w:space="0" w:color="auto"/>
              </w:divBdr>
            </w:div>
          </w:divsChild>
        </w:div>
        <w:div w:id="390924261">
          <w:marLeft w:val="0"/>
          <w:marRight w:val="0"/>
          <w:marTop w:val="0"/>
          <w:marBottom w:val="0"/>
          <w:divBdr>
            <w:top w:val="none" w:sz="0" w:space="0" w:color="auto"/>
            <w:left w:val="none" w:sz="0" w:space="0" w:color="auto"/>
            <w:bottom w:val="none" w:sz="0" w:space="0" w:color="auto"/>
            <w:right w:val="none" w:sz="0" w:space="0" w:color="auto"/>
          </w:divBdr>
        </w:div>
        <w:div w:id="2009483342">
          <w:marLeft w:val="0"/>
          <w:marRight w:val="0"/>
          <w:marTop w:val="0"/>
          <w:marBottom w:val="0"/>
          <w:divBdr>
            <w:top w:val="none" w:sz="0" w:space="0" w:color="auto"/>
            <w:left w:val="none" w:sz="0" w:space="0" w:color="auto"/>
            <w:bottom w:val="none" w:sz="0" w:space="0" w:color="auto"/>
            <w:right w:val="none" w:sz="0" w:space="0" w:color="auto"/>
          </w:divBdr>
        </w:div>
        <w:div w:id="1912349567">
          <w:marLeft w:val="0"/>
          <w:marRight w:val="0"/>
          <w:marTop w:val="0"/>
          <w:marBottom w:val="0"/>
          <w:divBdr>
            <w:top w:val="none" w:sz="0" w:space="0" w:color="auto"/>
            <w:left w:val="none" w:sz="0" w:space="0" w:color="auto"/>
            <w:bottom w:val="none" w:sz="0" w:space="0" w:color="auto"/>
            <w:right w:val="none" w:sz="0" w:space="0" w:color="auto"/>
          </w:divBdr>
        </w:div>
        <w:div w:id="1339498862">
          <w:marLeft w:val="0"/>
          <w:marRight w:val="0"/>
          <w:marTop w:val="0"/>
          <w:marBottom w:val="0"/>
          <w:divBdr>
            <w:top w:val="none" w:sz="0" w:space="0" w:color="auto"/>
            <w:left w:val="none" w:sz="0" w:space="0" w:color="auto"/>
            <w:bottom w:val="none" w:sz="0" w:space="0" w:color="auto"/>
            <w:right w:val="none" w:sz="0" w:space="0" w:color="auto"/>
          </w:divBdr>
        </w:div>
        <w:div w:id="1783719616">
          <w:marLeft w:val="0"/>
          <w:marRight w:val="0"/>
          <w:marTop w:val="0"/>
          <w:marBottom w:val="0"/>
          <w:divBdr>
            <w:top w:val="none" w:sz="0" w:space="0" w:color="auto"/>
            <w:left w:val="none" w:sz="0" w:space="0" w:color="auto"/>
            <w:bottom w:val="none" w:sz="0" w:space="0" w:color="auto"/>
            <w:right w:val="none" w:sz="0" w:space="0" w:color="auto"/>
          </w:divBdr>
          <w:divsChild>
            <w:div w:id="366222873">
              <w:marLeft w:val="0"/>
              <w:marRight w:val="0"/>
              <w:marTop w:val="0"/>
              <w:marBottom w:val="0"/>
              <w:divBdr>
                <w:top w:val="none" w:sz="0" w:space="0" w:color="auto"/>
                <w:left w:val="none" w:sz="0" w:space="0" w:color="auto"/>
                <w:bottom w:val="none" w:sz="0" w:space="0" w:color="auto"/>
                <w:right w:val="none" w:sz="0" w:space="0" w:color="auto"/>
              </w:divBdr>
            </w:div>
            <w:div w:id="673336578">
              <w:marLeft w:val="0"/>
              <w:marRight w:val="0"/>
              <w:marTop w:val="0"/>
              <w:marBottom w:val="0"/>
              <w:divBdr>
                <w:top w:val="none" w:sz="0" w:space="0" w:color="auto"/>
                <w:left w:val="none" w:sz="0" w:space="0" w:color="auto"/>
                <w:bottom w:val="none" w:sz="0" w:space="0" w:color="auto"/>
                <w:right w:val="none" w:sz="0" w:space="0" w:color="auto"/>
              </w:divBdr>
            </w:div>
          </w:divsChild>
        </w:div>
        <w:div w:id="1103261532">
          <w:marLeft w:val="0"/>
          <w:marRight w:val="0"/>
          <w:marTop w:val="0"/>
          <w:marBottom w:val="0"/>
          <w:divBdr>
            <w:top w:val="none" w:sz="0" w:space="0" w:color="auto"/>
            <w:left w:val="none" w:sz="0" w:space="0" w:color="auto"/>
            <w:bottom w:val="none" w:sz="0" w:space="0" w:color="auto"/>
            <w:right w:val="none" w:sz="0" w:space="0" w:color="auto"/>
          </w:divBdr>
          <w:divsChild>
            <w:div w:id="1865551726">
              <w:marLeft w:val="0"/>
              <w:marRight w:val="0"/>
              <w:marTop w:val="0"/>
              <w:marBottom w:val="0"/>
              <w:divBdr>
                <w:top w:val="none" w:sz="0" w:space="0" w:color="auto"/>
                <w:left w:val="none" w:sz="0" w:space="0" w:color="auto"/>
                <w:bottom w:val="none" w:sz="0" w:space="0" w:color="auto"/>
                <w:right w:val="none" w:sz="0" w:space="0" w:color="auto"/>
              </w:divBdr>
            </w:div>
            <w:div w:id="1963414062">
              <w:marLeft w:val="0"/>
              <w:marRight w:val="0"/>
              <w:marTop w:val="0"/>
              <w:marBottom w:val="0"/>
              <w:divBdr>
                <w:top w:val="none" w:sz="0" w:space="0" w:color="auto"/>
                <w:left w:val="none" w:sz="0" w:space="0" w:color="auto"/>
                <w:bottom w:val="none" w:sz="0" w:space="0" w:color="auto"/>
                <w:right w:val="none" w:sz="0" w:space="0" w:color="auto"/>
              </w:divBdr>
            </w:div>
            <w:div w:id="1423260691">
              <w:marLeft w:val="0"/>
              <w:marRight w:val="0"/>
              <w:marTop w:val="0"/>
              <w:marBottom w:val="0"/>
              <w:divBdr>
                <w:top w:val="none" w:sz="0" w:space="0" w:color="auto"/>
                <w:left w:val="none" w:sz="0" w:space="0" w:color="auto"/>
                <w:bottom w:val="none" w:sz="0" w:space="0" w:color="auto"/>
                <w:right w:val="none" w:sz="0" w:space="0" w:color="auto"/>
              </w:divBdr>
            </w:div>
            <w:div w:id="1014110241">
              <w:marLeft w:val="0"/>
              <w:marRight w:val="0"/>
              <w:marTop w:val="0"/>
              <w:marBottom w:val="0"/>
              <w:divBdr>
                <w:top w:val="none" w:sz="0" w:space="0" w:color="auto"/>
                <w:left w:val="none" w:sz="0" w:space="0" w:color="auto"/>
                <w:bottom w:val="none" w:sz="0" w:space="0" w:color="auto"/>
                <w:right w:val="none" w:sz="0" w:space="0" w:color="auto"/>
              </w:divBdr>
            </w:div>
            <w:div w:id="100925682">
              <w:marLeft w:val="0"/>
              <w:marRight w:val="0"/>
              <w:marTop w:val="0"/>
              <w:marBottom w:val="0"/>
              <w:divBdr>
                <w:top w:val="none" w:sz="0" w:space="0" w:color="auto"/>
                <w:left w:val="none" w:sz="0" w:space="0" w:color="auto"/>
                <w:bottom w:val="none" w:sz="0" w:space="0" w:color="auto"/>
                <w:right w:val="none" w:sz="0" w:space="0" w:color="auto"/>
              </w:divBdr>
            </w:div>
          </w:divsChild>
        </w:div>
        <w:div w:id="1925410030">
          <w:marLeft w:val="0"/>
          <w:marRight w:val="0"/>
          <w:marTop w:val="0"/>
          <w:marBottom w:val="0"/>
          <w:divBdr>
            <w:top w:val="none" w:sz="0" w:space="0" w:color="auto"/>
            <w:left w:val="none" w:sz="0" w:space="0" w:color="auto"/>
            <w:bottom w:val="none" w:sz="0" w:space="0" w:color="auto"/>
            <w:right w:val="none" w:sz="0" w:space="0" w:color="auto"/>
          </w:divBdr>
          <w:divsChild>
            <w:div w:id="456068453">
              <w:marLeft w:val="0"/>
              <w:marRight w:val="0"/>
              <w:marTop w:val="0"/>
              <w:marBottom w:val="0"/>
              <w:divBdr>
                <w:top w:val="none" w:sz="0" w:space="0" w:color="auto"/>
                <w:left w:val="none" w:sz="0" w:space="0" w:color="auto"/>
                <w:bottom w:val="none" w:sz="0" w:space="0" w:color="auto"/>
                <w:right w:val="none" w:sz="0" w:space="0" w:color="auto"/>
              </w:divBdr>
            </w:div>
            <w:div w:id="1569337202">
              <w:marLeft w:val="0"/>
              <w:marRight w:val="0"/>
              <w:marTop w:val="0"/>
              <w:marBottom w:val="0"/>
              <w:divBdr>
                <w:top w:val="none" w:sz="0" w:space="0" w:color="auto"/>
                <w:left w:val="none" w:sz="0" w:space="0" w:color="auto"/>
                <w:bottom w:val="none" w:sz="0" w:space="0" w:color="auto"/>
                <w:right w:val="none" w:sz="0" w:space="0" w:color="auto"/>
              </w:divBdr>
            </w:div>
            <w:div w:id="1240021835">
              <w:marLeft w:val="0"/>
              <w:marRight w:val="0"/>
              <w:marTop w:val="0"/>
              <w:marBottom w:val="0"/>
              <w:divBdr>
                <w:top w:val="none" w:sz="0" w:space="0" w:color="auto"/>
                <w:left w:val="none" w:sz="0" w:space="0" w:color="auto"/>
                <w:bottom w:val="none" w:sz="0" w:space="0" w:color="auto"/>
                <w:right w:val="none" w:sz="0" w:space="0" w:color="auto"/>
              </w:divBdr>
            </w:div>
            <w:div w:id="1218122566">
              <w:marLeft w:val="0"/>
              <w:marRight w:val="0"/>
              <w:marTop w:val="0"/>
              <w:marBottom w:val="0"/>
              <w:divBdr>
                <w:top w:val="none" w:sz="0" w:space="0" w:color="auto"/>
                <w:left w:val="none" w:sz="0" w:space="0" w:color="auto"/>
                <w:bottom w:val="none" w:sz="0" w:space="0" w:color="auto"/>
                <w:right w:val="none" w:sz="0" w:space="0" w:color="auto"/>
              </w:divBdr>
            </w:div>
          </w:divsChild>
        </w:div>
        <w:div w:id="1725517318">
          <w:marLeft w:val="0"/>
          <w:marRight w:val="0"/>
          <w:marTop w:val="0"/>
          <w:marBottom w:val="0"/>
          <w:divBdr>
            <w:top w:val="none" w:sz="0" w:space="0" w:color="auto"/>
            <w:left w:val="none" w:sz="0" w:space="0" w:color="auto"/>
            <w:bottom w:val="none" w:sz="0" w:space="0" w:color="auto"/>
            <w:right w:val="none" w:sz="0" w:space="0" w:color="auto"/>
          </w:divBdr>
          <w:divsChild>
            <w:div w:id="242447692">
              <w:marLeft w:val="0"/>
              <w:marRight w:val="0"/>
              <w:marTop w:val="0"/>
              <w:marBottom w:val="0"/>
              <w:divBdr>
                <w:top w:val="none" w:sz="0" w:space="0" w:color="auto"/>
                <w:left w:val="none" w:sz="0" w:space="0" w:color="auto"/>
                <w:bottom w:val="none" w:sz="0" w:space="0" w:color="auto"/>
                <w:right w:val="none" w:sz="0" w:space="0" w:color="auto"/>
              </w:divBdr>
            </w:div>
            <w:div w:id="145973147">
              <w:marLeft w:val="0"/>
              <w:marRight w:val="0"/>
              <w:marTop w:val="0"/>
              <w:marBottom w:val="0"/>
              <w:divBdr>
                <w:top w:val="none" w:sz="0" w:space="0" w:color="auto"/>
                <w:left w:val="none" w:sz="0" w:space="0" w:color="auto"/>
                <w:bottom w:val="none" w:sz="0" w:space="0" w:color="auto"/>
                <w:right w:val="none" w:sz="0" w:space="0" w:color="auto"/>
              </w:divBdr>
            </w:div>
            <w:div w:id="1390179891">
              <w:marLeft w:val="0"/>
              <w:marRight w:val="0"/>
              <w:marTop w:val="0"/>
              <w:marBottom w:val="0"/>
              <w:divBdr>
                <w:top w:val="none" w:sz="0" w:space="0" w:color="auto"/>
                <w:left w:val="none" w:sz="0" w:space="0" w:color="auto"/>
                <w:bottom w:val="none" w:sz="0" w:space="0" w:color="auto"/>
                <w:right w:val="none" w:sz="0" w:space="0" w:color="auto"/>
              </w:divBdr>
            </w:div>
            <w:div w:id="1013801702">
              <w:marLeft w:val="0"/>
              <w:marRight w:val="0"/>
              <w:marTop w:val="0"/>
              <w:marBottom w:val="0"/>
              <w:divBdr>
                <w:top w:val="none" w:sz="0" w:space="0" w:color="auto"/>
                <w:left w:val="none" w:sz="0" w:space="0" w:color="auto"/>
                <w:bottom w:val="none" w:sz="0" w:space="0" w:color="auto"/>
                <w:right w:val="none" w:sz="0" w:space="0" w:color="auto"/>
              </w:divBdr>
            </w:div>
            <w:div w:id="1122841232">
              <w:marLeft w:val="0"/>
              <w:marRight w:val="0"/>
              <w:marTop w:val="0"/>
              <w:marBottom w:val="0"/>
              <w:divBdr>
                <w:top w:val="none" w:sz="0" w:space="0" w:color="auto"/>
                <w:left w:val="none" w:sz="0" w:space="0" w:color="auto"/>
                <w:bottom w:val="none" w:sz="0" w:space="0" w:color="auto"/>
                <w:right w:val="none" w:sz="0" w:space="0" w:color="auto"/>
              </w:divBdr>
            </w:div>
            <w:div w:id="1342975815">
              <w:marLeft w:val="0"/>
              <w:marRight w:val="0"/>
              <w:marTop w:val="0"/>
              <w:marBottom w:val="0"/>
              <w:divBdr>
                <w:top w:val="none" w:sz="0" w:space="0" w:color="auto"/>
                <w:left w:val="none" w:sz="0" w:space="0" w:color="auto"/>
                <w:bottom w:val="none" w:sz="0" w:space="0" w:color="auto"/>
                <w:right w:val="none" w:sz="0" w:space="0" w:color="auto"/>
              </w:divBdr>
            </w:div>
            <w:div w:id="1355840507">
              <w:marLeft w:val="0"/>
              <w:marRight w:val="0"/>
              <w:marTop w:val="0"/>
              <w:marBottom w:val="0"/>
              <w:divBdr>
                <w:top w:val="none" w:sz="0" w:space="0" w:color="auto"/>
                <w:left w:val="none" w:sz="0" w:space="0" w:color="auto"/>
                <w:bottom w:val="none" w:sz="0" w:space="0" w:color="auto"/>
                <w:right w:val="none" w:sz="0" w:space="0" w:color="auto"/>
              </w:divBdr>
            </w:div>
            <w:div w:id="47462104">
              <w:marLeft w:val="0"/>
              <w:marRight w:val="0"/>
              <w:marTop w:val="0"/>
              <w:marBottom w:val="0"/>
              <w:divBdr>
                <w:top w:val="none" w:sz="0" w:space="0" w:color="auto"/>
                <w:left w:val="none" w:sz="0" w:space="0" w:color="auto"/>
                <w:bottom w:val="none" w:sz="0" w:space="0" w:color="auto"/>
                <w:right w:val="none" w:sz="0" w:space="0" w:color="auto"/>
              </w:divBdr>
            </w:div>
            <w:div w:id="241570234">
              <w:marLeft w:val="0"/>
              <w:marRight w:val="0"/>
              <w:marTop w:val="0"/>
              <w:marBottom w:val="0"/>
              <w:divBdr>
                <w:top w:val="none" w:sz="0" w:space="0" w:color="auto"/>
                <w:left w:val="none" w:sz="0" w:space="0" w:color="auto"/>
                <w:bottom w:val="none" w:sz="0" w:space="0" w:color="auto"/>
                <w:right w:val="none" w:sz="0" w:space="0" w:color="auto"/>
              </w:divBdr>
            </w:div>
            <w:div w:id="258566818">
              <w:marLeft w:val="0"/>
              <w:marRight w:val="0"/>
              <w:marTop w:val="0"/>
              <w:marBottom w:val="0"/>
              <w:divBdr>
                <w:top w:val="none" w:sz="0" w:space="0" w:color="auto"/>
                <w:left w:val="none" w:sz="0" w:space="0" w:color="auto"/>
                <w:bottom w:val="none" w:sz="0" w:space="0" w:color="auto"/>
                <w:right w:val="none" w:sz="0" w:space="0" w:color="auto"/>
              </w:divBdr>
            </w:div>
            <w:div w:id="700087935">
              <w:marLeft w:val="0"/>
              <w:marRight w:val="0"/>
              <w:marTop w:val="0"/>
              <w:marBottom w:val="0"/>
              <w:divBdr>
                <w:top w:val="none" w:sz="0" w:space="0" w:color="auto"/>
                <w:left w:val="none" w:sz="0" w:space="0" w:color="auto"/>
                <w:bottom w:val="none" w:sz="0" w:space="0" w:color="auto"/>
                <w:right w:val="none" w:sz="0" w:space="0" w:color="auto"/>
              </w:divBdr>
            </w:div>
            <w:div w:id="926961585">
              <w:marLeft w:val="0"/>
              <w:marRight w:val="0"/>
              <w:marTop w:val="0"/>
              <w:marBottom w:val="0"/>
              <w:divBdr>
                <w:top w:val="none" w:sz="0" w:space="0" w:color="auto"/>
                <w:left w:val="none" w:sz="0" w:space="0" w:color="auto"/>
                <w:bottom w:val="none" w:sz="0" w:space="0" w:color="auto"/>
                <w:right w:val="none" w:sz="0" w:space="0" w:color="auto"/>
              </w:divBdr>
            </w:div>
            <w:div w:id="1338116097">
              <w:marLeft w:val="0"/>
              <w:marRight w:val="0"/>
              <w:marTop w:val="0"/>
              <w:marBottom w:val="0"/>
              <w:divBdr>
                <w:top w:val="none" w:sz="0" w:space="0" w:color="auto"/>
                <w:left w:val="none" w:sz="0" w:space="0" w:color="auto"/>
                <w:bottom w:val="none" w:sz="0" w:space="0" w:color="auto"/>
                <w:right w:val="none" w:sz="0" w:space="0" w:color="auto"/>
              </w:divBdr>
            </w:div>
            <w:div w:id="1759715193">
              <w:marLeft w:val="0"/>
              <w:marRight w:val="0"/>
              <w:marTop w:val="0"/>
              <w:marBottom w:val="0"/>
              <w:divBdr>
                <w:top w:val="none" w:sz="0" w:space="0" w:color="auto"/>
                <w:left w:val="none" w:sz="0" w:space="0" w:color="auto"/>
                <w:bottom w:val="none" w:sz="0" w:space="0" w:color="auto"/>
                <w:right w:val="none" w:sz="0" w:space="0" w:color="auto"/>
              </w:divBdr>
            </w:div>
            <w:div w:id="1873347391">
              <w:marLeft w:val="0"/>
              <w:marRight w:val="0"/>
              <w:marTop w:val="0"/>
              <w:marBottom w:val="0"/>
              <w:divBdr>
                <w:top w:val="none" w:sz="0" w:space="0" w:color="auto"/>
                <w:left w:val="none" w:sz="0" w:space="0" w:color="auto"/>
                <w:bottom w:val="none" w:sz="0" w:space="0" w:color="auto"/>
                <w:right w:val="none" w:sz="0" w:space="0" w:color="auto"/>
              </w:divBdr>
            </w:div>
            <w:div w:id="468936936">
              <w:marLeft w:val="0"/>
              <w:marRight w:val="0"/>
              <w:marTop w:val="0"/>
              <w:marBottom w:val="0"/>
              <w:divBdr>
                <w:top w:val="none" w:sz="0" w:space="0" w:color="auto"/>
                <w:left w:val="none" w:sz="0" w:space="0" w:color="auto"/>
                <w:bottom w:val="none" w:sz="0" w:space="0" w:color="auto"/>
                <w:right w:val="none" w:sz="0" w:space="0" w:color="auto"/>
              </w:divBdr>
            </w:div>
            <w:div w:id="655115307">
              <w:marLeft w:val="0"/>
              <w:marRight w:val="0"/>
              <w:marTop w:val="0"/>
              <w:marBottom w:val="0"/>
              <w:divBdr>
                <w:top w:val="none" w:sz="0" w:space="0" w:color="auto"/>
                <w:left w:val="none" w:sz="0" w:space="0" w:color="auto"/>
                <w:bottom w:val="none" w:sz="0" w:space="0" w:color="auto"/>
                <w:right w:val="none" w:sz="0" w:space="0" w:color="auto"/>
              </w:divBdr>
            </w:div>
            <w:div w:id="1243837367">
              <w:marLeft w:val="0"/>
              <w:marRight w:val="0"/>
              <w:marTop w:val="0"/>
              <w:marBottom w:val="0"/>
              <w:divBdr>
                <w:top w:val="none" w:sz="0" w:space="0" w:color="auto"/>
                <w:left w:val="none" w:sz="0" w:space="0" w:color="auto"/>
                <w:bottom w:val="none" w:sz="0" w:space="0" w:color="auto"/>
                <w:right w:val="none" w:sz="0" w:space="0" w:color="auto"/>
              </w:divBdr>
            </w:div>
          </w:divsChild>
        </w:div>
        <w:div w:id="1605650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1981</Words>
  <Characters>14903</Characters>
  <Application>Microsoft Office Word</Application>
  <DocSecurity>0</DocSecurity>
  <Lines>596</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Donald W.</dc:creator>
  <cp:keywords/>
  <dc:description/>
  <cp:lastModifiedBy>Erica</cp:lastModifiedBy>
  <cp:revision>6</cp:revision>
  <dcterms:created xsi:type="dcterms:W3CDTF">2023-10-02T13:37:00Z</dcterms:created>
  <dcterms:modified xsi:type="dcterms:W3CDTF">2023-10-03T15:38:00Z</dcterms:modified>
</cp:coreProperties>
</file>